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line="324" w:lineRule="auto"/>
        <w:jc w:val="center"/>
      </w:pPr>
      <w:r>
        <w:rPr>
          <w:rFonts w:ascii="Calibri" w:hAnsi="Calibri" w:eastAsia="黑体"/>
          <w:b/>
          <w:sz w:val="44"/>
        </w:rPr>
        <w:t>支付行业竞争格局重塑：谁在崛起，谁在掉队？</w:t>
      </w:r>
    </w:p>
    <w:p>
      <w:pPr>
        <w:spacing w:after="320" w:before="0" w:line="324" w:lineRule="auto"/>
      </w:pPr>
      <w:r>
        <w:rPr>
          <w:rFonts w:ascii="Calibri" w:hAnsi="Calibri" w:eastAsia="宋体"/>
          <w:b w:val="0"/>
          <w:color w:val="555555"/>
          <w:sz w:val="21"/>
        </w:rPr>
        <w:t>主题编号：D-02</w:t>
        <w:br/>
        <w:t>匹配热点：河南建业支付、湖南蓝天支付同日注销牌照；2026 年以来 9 家机构退场，持牌主体剩 154 家；预付卡成为出清重灾区</w:t>
        <w:br/>
        <w:t>成稿日期：2026-10-22</w:t>
        <w:br/>
        <w:t>目标读者：支付机构战略决策者、中小支付机构管理层、投资人与合规负责人</w:t>
      </w:r>
    </w:p>
    <w:p>
      <w:pPr>
        <w:spacing w:after="200" w:before="0" w:line="324" w:lineRule="auto"/>
      </w:pPr>
      <w:r>
        <w:rPr>
          <w:rFonts w:ascii="Calibri" w:hAnsi="Calibri" w:eastAsia="黑体"/>
          <w:b/>
          <w:sz w:val="32"/>
        </w:rPr>
        <w:t>一、两张还没到期的牌照，同一天被交了回去</w:t>
      </w:r>
    </w:p>
    <w:p>
      <w:pPr>
        <w:spacing w:after="160" w:before="0" w:line="324" w:lineRule="auto"/>
        <w:ind w:firstLine="420"/>
      </w:pPr>
      <w:r>
        <w:rPr>
          <w:rFonts w:ascii="Calibri" w:hAnsi="Calibri" w:eastAsia="宋体"/>
          <w:b w:val="0"/>
          <w:sz w:val="24"/>
        </w:rPr>
        <w:t>2026 年 10 月 14 日，中国人民银行支付业务许可公示名单上，同时少了两家机构：河南建业支付科技有限公司、湖南蓝天支付有限公司。两张牌照都是储值账户运营Ⅱ类，业务范围分别限河南、湖南；更刺眼的是，它们都还没到期——建业支付原许可有效期至 2028 年 1 月 5 日，蓝天支付至 2028 年 7 月 5 日。提前两年多交回许可证，不是续展没过，而是业务先撑不住了。</w:t>
      </w:r>
    </w:p>
    <w:p>
      <w:pPr>
        <w:spacing w:after="160" w:before="0" w:line="324" w:lineRule="auto"/>
        <w:ind w:firstLine="420"/>
      </w:pPr>
      <w:r>
        <w:rPr>
          <w:rFonts w:ascii="Calibri" w:hAnsi="Calibri" w:eastAsia="宋体"/>
          <w:b w:val="0"/>
          <w:sz w:val="24"/>
        </w:rPr>
        <w:t>10 月 16 日，建业支付通过「建业至尊卡」公众号发布《关于终止支付业务的公告》：受经济环境等影响，决定终止预付卡发行与受理，当日 24 时停止至尊卡发行。赎回安排分两段：2026 年 10 月 17 日至 2027 年 1 月 16 日，持卡人可到郑州建业总部港现场办理，也可通过微信小程序赎回，资金五个工作日内划入同名银行账户；窗口期结束后，由河南焕新智科信息技术有限公司承接后续赎回。双方约定移交客户备付金、实名信息和交易记录，并由执行董事、监事组成监督检查组全程盯资金与资料。</w:t>
      </w:r>
    </w:p>
    <w:p>
      <w:pPr>
        <w:spacing w:after="160" w:before="0" w:line="324" w:lineRule="auto"/>
        <w:ind w:firstLine="420"/>
      </w:pPr>
      <w:r>
        <w:rPr>
          <w:rFonts w:ascii="Calibri" w:hAnsi="Calibri" w:eastAsia="宋体"/>
          <w:b w:val="0"/>
          <w:sz w:val="24"/>
        </w:rPr>
        <w:t>蓝天支付这边更冷：华天酒店、养天和大药房、长沙海信广场等商户此前已因协议到期或长期无刷卡而停收蓝天卡；2026 年 3 月，公司还因违反账户管理、数据安全和网络安全规定，被人民银行湖南省分行警告、通报批评并罚款 9 万元。截至成稿，公开渠道仍未见完整的存量卡赎回方案。</w:t>
      </w:r>
    </w:p>
    <w:p>
      <w:pPr>
        <w:spacing w:after="160" w:before="0" w:line="324" w:lineRule="auto"/>
        <w:ind w:firstLine="420"/>
      </w:pPr>
      <w:r>
        <w:rPr>
          <w:rFonts w:ascii="Calibri" w:hAnsi="Calibri" w:eastAsia="宋体"/>
          <w:b w:val="0"/>
          <w:sz w:val="24"/>
        </w:rPr>
        <w:t>这两条消息叠在一起，正好对应记忆主题库 D-02：支付行业竞争格局重塑，谁在崛起，谁在掉队。它同时咬合 D-10（中小机构突围）、H-10 / R-06（预付卡与储值账户Ⅱ类新规）、H-03 / R-03（牌照续展与「长期有效」）。10 月 19 日至 21 日已分别写过智能体授权、跨境统一网关和支付智能体落地。今天更值得写的，不是再复述一遍 AI 钱包，而是：**牌照从稀缺资产变成负担之后，行业真正的分水岭在哪里。**</w:t>
      </w:r>
    </w:p>
    <w:p>
      <w:pPr>
        <w:spacing w:after="200" w:before="0" w:line="324" w:lineRule="auto"/>
      </w:pPr>
      <w:r>
        <w:rPr>
          <w:rFonts w:ascii="Calibri" w:hAnsi="Calibri" w:eastAsia="黑体"/>
          <w:b/>
          <w:sz w:val="32"/>
        </w:rPr>
        <w:t>二、掉队的不是「两家河南湖南公司」，是一整条旧商业模式</w:t>
      </w:r>
    </w:p>
    <w:p>
      <w:pPr>
        <w:spacing w:after="160" w:before="0" w:line="324" w:lineRule="auto"/>
        <w:ind w:firstLine="420"/>
      </w:pPr>
      <w:r>
        <w:rPr>
          <w:rFonts w:ascii="Calibri" w:hAnsi="Calibri" w:eastAsia="宋体"/>
          <w:b w:val="0"/>
          <w:sz w:val="24"/>
        </w:rPr>
        <w:t>把镜头拉远，数字比公告更冷。央行自 2011 年签发首批第三方支付牌照以来，累计发出 271 张；截至 10 月 16 日，累计注销 117 张，现存持牌机构 154 家。超四成已经退场。仅 2026 年，进入注销名单的就有 9 家：河南聚宝支付、广东汇卡商务、开联通支付、上海商联信、圣亚云鼎支付、上海大众交通商务、东方付通，以及此次的湖南蓝天支付、河南建业支付。其中广东汇卡、上海商联信、圣亚云鼎为不予续展，开联通为续展申请不予受理；大众支付、蓝天支付、建业支付则是牌照尚未到期便主动或提前离场。</w:t>
      </w:r>
    </w:p>
    <w:p>
      <w:pPr>
        <w:spacing w:after="160" w:before="0" w:line="324" w:lineRule="auto"/>
        <w:ind w:firstLine="420"/>
      </w:pPr>
      <w:r>
        <w:rPr>
          <w:rFonts w:ascii="Calibri" w:hAnsi="Calibri" w:eastAsia="宋体"/>
          <w:b w:val="0"/>
          <w:sz w:val="24"/>
        </w:rPr>
        <w:t>预付卡是这条出清曲线的主通道。记者梳理显示，在累计注销牌照中，原预付卡发行与受理类（现行分类为储值账户运营Ⅱ类）占比超过七成。原因并不神秘，是三条结构性力量叠在一起，把区域性预付卡机构的利润模型拆空了。</w:t>
      </w:r>
    </w:p>
    <w:p>
      <w:pPr>
        <w:spacing w:after="160" w:before="0" w:line="324" w:lineRule="auto"/>
        <w:ind w:firstLine="420"/>
      </w:pPr>
      <w:r>
        <w:rPr>
          <w:rFonts w:ascii="Calibri" w:hAnsi="Calibri" w:eastAsia="宋体"/>
          <w:b w:val="0"/>
          <w:sz w:val="24"/>
        </w:rPr>
        <w:t>第一，场景被替代。扫码支付、数字人民币和平台电子消费券已经覆盖商超、餐饮、交通、药店这些预付卡曾经最熟的柜台。蓝天卡在酒店、药房、购物中心被一家家摘机，不是单店纠纷，而是受理网络在萎缩。多用途预付卡从「日常支付工具」退成「补充介质」，交易频次一掉，发卡、受理、客服的固定成本立刻露出水面。</w:t>
      </w:r>
    </w:p>
    <w:p>
      <w:pPr>
        <w:spacing w:after="160" w:before="0" w:line="324" w:lineRule="auto"/>
        <w:ind w:firstLine="420"/>
      </w:pPr>
      <w:r>
        <w:rPr>
          <w:rFonts w:ascii="Calibri" w:hAnsi="Calibri" w:eastAsia="宋体"/>
          <w:b w:val="0"/>
          <w:sz w:val="24"/>
        </w:rPr>
        <w:t>第二，利息被拿走。2019 年 1 月客户备付金实施全额集中存管之后，预付卡机构曾经最稳的一块收入——沉淀资金利息——基本消失。对全国性收单机构，这只是利润结构搬家；对业务范围锁在一省、交易规模有限的区域发卡机构，这几乎等于抽掉底盘。博通咨询首席分析师王蓬博把这轮主动退出说得很直白：不赚钱了，业务收益盖不住运营成本。</w:t>
      </w:r>
    </w:p>
    <w:p>
      <w:pPr>
        <w:spacing w:after="160" w:before="0" w:line="324" w:lineRule="auto"/>
        <w:ind w:firstLine="420"/>
      </w:pPr>
      <w:r>
        <w:rPr>
          <w:rFonts w:ascii="Calibri" w:hAnsi="Calibri" w:eastAsia="宋体"/>
          <w:b w:val="0"/>
          <w:sz w:val="24"/>
        </w:rPr>
        <w:t>第三，合规变成刚性成本。《非银行支付机构监督管理条例》2024 年 5 月施行后，反洗钱、实名核验、交易留存、风险处置和消费者权益保护全面抬升。2026 年 2 月 1 日修订后的《非银行支付机构分类评级管理办法》落地，公司治理、业务规范、备付金管理、用户权益保护、系统安全、反洗钱、经营稳健性七个模块进入日常评分。7 月公开征求意见的《储值账户运营Ⅱ类业务管理办法》更进一步：原则上线下网点售卡，网络发卡仅限公共交通小额且单卡不超过 200 元；记名卡限额 5000 元、不记名卡 1000 元；发行机构必须自行签约和管理特约商户，核心业务不得外包。以前靠渠道代销、线上批量和「发卡、受理拆开做」铺规模的路，被直接切断。</w:t>
      </w:r>
    </w:p>
    <w:p>
      <w:pPr>
        <w:spacing w:after="160" w:before="0" w:line="324" w:lineRule="auto"/>
        <w:ind w:firstLine="420"/>
      </w:pPr>
      <w:r>
        <w:rPr>
          <w:rFonts w:ascii="Calibri" w:hAnsi="Calibri" w:eastAsia="宋体"/>
          <w:b w:val="0"/>
          <w:sz w:val="24"/>
        </w:rPr>
        <w:t>还有一个容易被忽略的细节。今年 1 月，河南聚宝支付注销牌照时，曾安排客户把豫商卡等额置换成建业支付的预付卡，建业支付从 4 月 30 日起承接赎回和置换。不到九个月，承接方自己也退出了。区域预付卡市场已经薄到「谁来接盘」都成了问题——掉队的不是某一家治理失败的公司，而是这条赛道本身不再供得起一张独立牌照。</w:t>
      </w:r>
    </w:p>
    <w:p>
      <w:pPr>
        <w:spacing w:after="200" w:before="0" w:line="324" w:lineRule="auto"/>
      </w:pPr>
      <w:r>
        <w:rPr>
          <w:rFonts w:ascii="Calibri" w:hAnsi="Calibri" w:eastAsia="黑体"/>
          <w:b/>
          <w:sz w:val="32"/>
        </w:rPr>
        <w:t>三、崛起的也不是「谁还拿着牌」，而是谁先换了计分方式</w:t>
      </w:r>
    </w:p>
    <w:p>
      <w:pPr>
        <w:spacing w:after="160" w:before="0" w:line="324" w:lineRule="auto"/>
        <w:ind w:firstLine="420"/>
      </w:pPr>
      <w:r>
        <w:rPr>
          <w:rFonts w:ascii="Calibri" w:hAnsi="Calibri" w:eastAsia="宋体"/>
          <w:b w:val="0"/>
          <w:sz w:val="24"/>
        </w:rPr>
        <w:t>牌照总量做减法，并不自动等于头部通吃。真正在崛起的机构，计分方式已经从「有没有证、有多少交易笔数」换成了另外三件事：合规韧性、真实场景、资金操作系统。</w:t>
      </w:r>
    </w:p>
    <w:p>
      <w:pPr>
        <w:spacing w:after="160" w:before="0" w:line="324" w:lineRule="auto"/>
        <w:ind w:firstLine="420"/>
      </w:pPr>
      <w:r>
        <w:rPr>
          <w:rFonts w:ascii="Calibri" w:hAnsi="Calibri" w:eastAsia="宋体"/>
          <w:b w:val="0"/>
          <w:sz w:val="24"/>
        </w:rPr>
        <w:t>先看合规韧性。截至 2026 年 8 月末，已有 38 家机构换发「长期有效」支付牌照。王蓬博提醒过：长期有效的本质是监管对当前合规状态的认可，不是免检通行证。分类评级把续展从几年一次的大考，改成随时可能扣分的日常治理；年内支付罚单也在抬高违规价格——截至 9 月相关报道，已有 34 家机构收到罚单，罚没合计超 3.05 亿元，超过 2025 年全年，单笔最高约 7445 万元。能留下来的，首先是扛得住七维考核和动态检查的机构，而不是牌照故事讲得最好的机构。</w:t>
      </w:r>
    </w:p>
    <w:p>
      <w:pPr>
        <w:spacing w:after="160" w:before="0" w:line="324" w:lineRule="auto"/>
        <w:ind w:firstLine="420"/>
      </w:pPr>
      <w:r>
        <w:rPr>
          <w:rFonts w:ascii="Calibri" w:hAnsi="Calibri" w:eastAsia="宋体"/>
          <w:b w:val="0"/>
          <w:sz w:val="24"/>
        </w:rPr>
        <w:t>再看真实场景。邮储银行研究员娄飞鹏判断，2026 年第三方支付牌照数量仍有进一步缩减趋势，核心是结构性洗牌和监管范式升级。支付产业网创始人刘刚则把预付卡出清看成行业结构性矛盾的典型样本。另一侧，素喜智研苏筱芮观察到，部分机构选择向外突围，加码跨境；「支付 + SaaS」也在重塑商户服务。王蓬博的概括更接近终局：非银支付不再只是收付款通道，而在变成嵌入企业经营全流程的底层交易基础设施，服务属性从工具型转向支撑型。</w:t>
      </w:r>
    </w:p>
    <w:p>
      <w:pPr>
        <w:spacing w:after="160" w:before="0" w:line="324" w:lineRule="auto"/>
        <w:ind w:firstLine="420"/>
      </w:pPr>
      <w:r>
        <w:rPr>
          <w:rFonts w:ascii="Calibri" w:hAnsi="Calibri" w:eastAsia="宋体"/>
          <w:b w:val="0"/>
          <w:sz w:val="24"/>
        </w:rPr>
        <w:t>这正好解释了谁在掉队、谁还可能起来。没有稳定消费场景、只靠牌照资质吃饭的模式越来越难持续；能把分账、对账、预付存管、跨境收结汇做成商户日常操作系统的机构，才有资格谈「崛起」。跨境侧已经能看到集中：连连支付、PingPong、万里汇在跨境电商支付的合计份额被调研机构估到国内市场一半以上；广交会上，中非本币结算、本地清算、资金可视，比再讲一遍通道费率更能留住采购商。行业解决方案侧，连锁零售、教培预付、医疗混合支付这些垂直切口，对应的是主题库里那一批 SOL，而不是再去全国铺一张通用预付卡。</w:t>
      </w:r>
    </w:p>
    <w:p>
      <w:pPr>
        <w:spacing w:after="160" w:before="0" w:line="324" w:lineRule="auto"/>
        <w:ind w:firstLine="420"/>
      </w:pPr>
      <w:r>
        <w:rPr>
          <w:rFonts w:ascii="Calibri" w:hAnsi="Calibri" w:eastAsia="宋体"/>
          <w:b w:val="0"/>
          <w:sz w:val="24"/>
        </w:rPr>
        <w:t>第三件是市场集中之后的分工。银行继续吃大额对公，持牌支付机构吃中小、碎片化、多币种和嵌入式场景。牌照越少，通道越贵、越难买到；中小机构如果还停留在「转接 + 贴牌」，会被费率下行和合规成本同时夹死。活下来的第二条路，是 D-10 说的「小而美」：选一个省份、一个行业、一套资金流，把对账、分账、退费和存管做深，而不是再幻想一张全国预付卡牌照能卖出当年的溢价。</w:t>
      </w:r>
    </w:p>
    <w:p>
      <w:pPr>
        <w:spacing w:after="200" w:before="0" w:line="324" w:lineRule="auto"/>
      </w:pPr>
      <w:r>
        <w:rPr>
          <w:rFonts w:ascii="Calibri" w:hAnsi="Calibri" w:eastAsia="黑体"/>
          <w:b/>
          <w:sz w:val="32"/>
        </w:rPr>
        <w:t>四、出清本身也在分层：会退场的，和退得干净的</w:t>
      </w:r>
    </w:p>
    <w:p>
      <w:pPr>
        <w:spacing w:after="160" w:before="0" w:line="324" w:lineRule="auto"/>
        <w:ind w:firstLine="420"/>
      </w:pPr>
      <w:r>
        <w:rPr>
          <w:rFonts w:ascii="Calibri" w:hAnsi="Calibri" w:eastAsia="宋体"/>
          <w:b w:val="0"/>
          <w:sz w:val="24"/>
        </w:rPr>
        <w:t>建业支付这次处置，比注销本身更值得行业记一笔。两段式赎回、同名账户到账、备付金与客户信息整体移交、联合监督检查组盯后续使用——这套安排被王蓬博和刘刚同时视为符合监管倡导的平稳退出：尽量避免预付卡最怕的那种「机构没了、卡里的钱也没了」。</w:t>
      </w:r>
    </w:p>
    <w:p>
      <w:pPr>
        <w:spacing w:after="160" w:before="0" w:line="324" w:lineRule="auto"/>
        <w:ind w:firstLine="420"/>
      </w:pPr>
      <w:r>
        <w:rPr>
          <w:rFonts w:ascii="Calibri" w:hAnsi="Calibri" w:eastAsia="宋体"/>
          <w:b w:val="0"/>
          <w:sz w:val="24"/>
        </w:rPr>
        <w:t>蓝天支付则提供了反面对照。商户先撤、罚单在先、赎回方案滞后，持卡人面对的是信息不完整的真空。对监管，这意味着退出机制还要再往前推一步：注销公示之外，赎回窗口、承接主体、备付金移交和信息披露应当成为标配，而不是机构自觉。对还在场内的区域发卡机构，这意味着「现在主动止损、把退出方案写清楚」，可能比硬扛到许可到期更负责任，也更便宜。</w:t>
      </w:r>
    </w:p>
    <w:p>
      <w:pPr>
        <w:spacing w:after="160" w:before="0" w:line="324" w:lineRule="auto"/>
        <w:ind w:firstLine="420"/>
      </w:pPr>
      <w:r>
        <w:rPr>
          <w:rFonts w:ascii="Calibri" w:hAnsi="Calibri" w:eastAsia="宋体"/>
          <w:b w:val="0"/>
          <w:sz w:val="24"/>
        </w:rPr>
        <w:t>分类评级和储值账户Ⅱ类新规，会继续加速这种分层。评级靠后的机构面临更密的检查和更窄的业务空间；新规落地后，发不了线上批量卡、签不了外包商户、扛不住实地核验的主体，会继续选择交回许可证。行业资源会进一步向「有场景、有系统、有合规班底」的主体集中。短期，部分预付卡用户会遇到受理网点减少、赎回跑腿的不便；长期，出清有助于压住「劣币驱逐良币」，让真正把钱管在专户、把交易留得住痕的机构获得更稳定的环境。</w:t>
      </w:r>
    </w:p>
    <w:p>
      <w:pPr>
        <w:spacing w:after="160" w:before="0" w:line="324" w:lineRule="auto"/>
        <w:ind w:firstLine="420"/>
      </w:pPr>
      <w:r>
        <w:rPr>
          <w:rFonts w:ascii="Calibri" w:hAnsi="Calibri" w:eastAsia="宋体"/>
          <w:b w:val="0"/>
          <w:sz w:val="24"/>
        </w:rPr>
        <w:t>投资人和战略部门如果还用 2013 到 2015 年的逻辑给牌照估值，会看错价格。那时牌照是入场券，甚至被拿去炒壳；现在牌照是持续缴纳合规成本的资格，资格背后必须有能覆盖成本的场景收入。并购也不会消失，但标的会从「有证就行」变成「证还在、场景还在、系统还干净、备付金交得清」。没有这四样，接盘的不是资产，是或有负债。</w:t>
      </w:r>
    </w:p>
    <w:p>
      <w:pPr>
        <w:spacing w:after="200" w:before="0" w:line="324" w:lineRule="auto"/>
      </w:pPr>
      <w:r>
        <w:rPr>
          <w:rFonts w:ascii="Calibri" w:hAnsi="Calibri" w:eastAsia="黑体"/>
          <w:b/>
          <w:sz w:val="32"/>
        </w:rPr>
        <w:t>五、给还在牌桌上的人：崛起的动作，掉队的信号</w:t>
      </w:r>
    </w:p>
    <w:p>
      <w:pPr>
        <w:spacing w:after="160" w:before="0" w:line="324" w:lineRule="auto"/>
        <w:ind w:firstLine="420"/>
      </w:pPr>
      <w:r>
        <w:rPr>
          <w:rFonts w:ascii="Calibri" w:hAnsi="Calibri" w:eastAsia="宋体"/>
          <w:b w:val="0"/>
          <w:sz w:val="24"/>
        </w:rPr>
        <w:t>对头部机构，崛起不是再报一笔交易规模，而是把通道能力升级成产业服务：跨境资金操作系统、智能体支付的身份与授权底座、商户侧的对账分账和预付存管。这些能力跟主题库 D-01、S-04、H-08 是同一条线——支付机构靠「嵌进别人的经营流程」收费，而不是靠备付金利息和通道价差。</w:t>
      </w:r>
    </w:p>
    <w:p>
      <w:pPr>
        <w:spacing w:after="160" w:before="0" w:line="324" w:lineRule="auto"/>
        <w:ind w:firstLine="420"/>
      </w:pPr>
      <w:r>
        <w:rPr>
          <w:rFonts w:ascii="Calibri" w:hAnsi="Calibri" w:eastAsia="宋体"/>
          <w:b w:val="0"/>
          <w:sz w:val="24"/>
        </w:rPr>
        <w:t>对中小机构，掉队信号已经很具体：受理商户在减少、预付余额在沉淀但用不出去、分类评级在扣分、母公司不再愿意给系统改造和资本金续命。这时有两条体面的路。一条是收缩到真正能赚钱的垂直场景，把区域、行业、履约和资金监管做成差异化；另一条是按建业支付的模板准备有序退出，把持卡人资金和商户结算安排写进可执行的公告，而不是等许可被注销后才找承接方。</w:t>
      </w:r>
    </w:p>
    <w:p>
      <w:pPr>
        <w:spacing w:after="160" w:before="0" w:line="324" w:lineRule="auto"/>
        <w:ind w:firstLine="420"/>
      </w:pPr>
      <w:r>
        <w:rPr>
          <w:rFonts w:ascii="Calibri" w:hAnsi="Calibri" w:eastAsia="宋体"/>
          <w:b w:val="0"/>
          <w:sz w:val="24"/>
        </w:rPr>
        <w:t>对预付卡赛道本身，监管要的已经不是「多一张便民卡」，而是小额、便民、可追溯、可赎回。Ⅱ类新规把限额、线下发行、自行管商户、禁止取现和跨机构划转写死，等于承认这条赛道不再承担「第二个钱包」的任务。还想在预付卡上做文章的机构，必须回答一个更窄的问题：你服务的是哪一座城市的哪一类小额刚需，资金怎么隔离，退出时钱怎么还。答不上来，牌照续不续展，都只是时间问题。</w:t>
      </w:r>
    </w:p>
    <w:p>
      <w:pPr>
        <w:spacing w:after="160" w:before="0" w:line="324" w:lineRule="auto"/>
        <w:ind w:firstLine="420"/>
      </w:pPr>
      <w:r>
        <w:rPr>
          <w:rFonts w:ascii="Calibri" w:hAnsi="Calibri" w:eastAsia="宋体"/>
          <w:b w:val="0"/>
          <w:sz w:val="24"/>
        </w:rPr>
        <w:t>对商户和消费者，选择标准也该换了。不要只看卡面优惠和充值赠送，要看发卡机构是否还在央行公示的有效名单里、赎回规则是否公开、备付金是否可追溯。刘刚的提醒仍然适用：理性看待储值产品，控制储值额度，优先选择资金保障完善的机构。</w:t>
      </w:r>
    </w:p>
    <w:p>
      <w:pPr>
        <w:spacing w:after="200" w:before="0" w:line="324" w:lineRule="auto"/>
      </w:pPr>
      <w:r>
        <w:rPr>
          <w:rFonts w:ascii="Calibri" w:hAnsi="Calibri" w:eastAsia="黑体"/>
          <w:b/>
          <w:sz w:val="32"/>
        </w:rPr>
        <w:t>六、格局重塑的结论，其实只有一句</w:t>
      </w:r>
    </w:p>
    <w:p>
      <w:pPr>
        <w:spacing w:after="160" w:before="0" w:line="324" w:lineRule="auto"/>
        <w:ind w:firstLine="420"/>
      </w:pPr>
      <w:r>
        <w:rPr>
          <w:rFonts w:ascii="Calibri" w:hAnsi="Calibri" w:eastAsia="宋体"/>
          <w:b w:val="0"/>
          <w:sz w:val="24"/>
        </w:rPr>
        <w:t>271 张发下去，117 张收回来，154 家还在场上。这不是监管情绪，是商业模式投票。靠牌照稀缺、靠备付金利息、靠渠道代销铺规模的机构在掉队；靠合规韧性、真实场景和资金操作系统收费的机构在抬头。10 月 14 日同日注销的两张Ⅱ类牌照，只是把这句已经写了好几年的话，又用两家区域预付卡机构的名字念了一遍。</w:t>
      </w:r>
    </w:p>
    <w:p>
      <w:pPr>
        <w:spacing w:after="160" w:before="0" w:line="324" w:lineRule="auto"/>
        <w:ind w:firstLine="420"/>
      </w:pPr>
      <w:r>
        <w:rPr>
          <w:rFonts w:ascii="Calibri" w:hAnsi="Calibri" w:eastAsia="宋体"/>
          <w:b w:val="0"/>
          <w:sz w:val="24"/>
        </w:rPr>
        <w:t>接下来还会有机构离开。值得盯的不是注销名单变长了几行，而是留下的人有没有把计分方式换掉——以及离开的人，能不能把持卡人的钱退干净。</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宋体" w:hAnsi="宋体" w:eastAsia="宋体"/>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