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FAF39" w14:textId="77777777" w:rsidR="00B13D04" w:rsidRDefault="00000000">
      <w:pPr>
        <w:pStyle w:val="Title"/>
      </w:pPr>
      <w:r>
        <w:t>Nepal Floods Response Analysis</w:t>
      </w:r>
    </w:p>
    <w:p w14:paraId="7771D00E" w14:textId="77777777" w:rsidR="00B13D04" w:rsidRDefault="00000000">
      <w:pPr>
        <w:pStyle w:val="Author"/>
      </w:pPr>
      <w:r>
        <w:t>UN Nepal &amp; iMMAP</w:t>
      </w:r>
    </w:p>
    <w:p w14:paraId="6447ABB0" w14:textId="77777777" w:rsidR="00B13D04" w:rsidRDefault="00000000">
      <w:pPr>
        <w:pStyle w:val="Heading1"/>
      </w:pPr>
      <w:bookmarkStart w:id="0" w:name="introduction"/>
      <w:r>
        <w:t>Introduction</w:t>
      </w:r>
    </w:p>
    <w:p w14:paraId="2C92606C" w14:textId="77777777" w:rsidR="00B13D04" w:rsidRDefault="00000000">
      <w:pPr>
        <w:pStyle w:val="FirstParagraph"/>
      </w:pPr>
      <w:r>
        <w:t>The response to the 2026 Nepal Floods is comprised of the efforts of 58 Lead Agencies and 50 Implementing Partners. According to the 5Ws dashboard, a total of 64,263 persons have been reached across 15 Municipalities. The Flash Appeal estimated 84,720 people were affected by the flooding.</w:t>
      </w:r>
    </w:p>
    <w:p w14:paraId="0689CEC7" w14:textId="77777777" w:rsidR="00B13D04" w:rsidRDefault="00000000">
      <w:pPr>
        <w:pStyle w:val="Heading2"/>
      </w:pPr>
      <w:bookmarkStart w:id="1" w:name="executive-summary"/>
      <w:r>
        <w:t>Executive summary</w:t>
      </w:r>
    </w:p>
    <w:p w14:paraId="6FCE5CF7" w14:textId="77777777" w:rsidR="00B13D04" w:rsidRDefault="00000000">
      <w:pPr>
        <w:numPr>
          <w:ilvl w:val="0"/>
          <w:numId w:val="2"/>
        </w:numPr>
      </w:pPr>
      <w:r>
        <w:t>The ward is a more appropriate administrative level than the municipality for planning and analysis of a response along a narrow corridor.</w:t>
      </w:r>
    </w:p>
    <w:p w14:paraId="5AD1642B" w14:textId="77777777" w:rsidR="00B13D04" w:rsidRDefault="00000000">
      <w:pPr>
        <w:numPr>
          <w:ilvl w:val="0"/>
          <w:numId w:val="2"/>
        </w:numPr>
      </w:pPr>
      <w:r>
        <w:t>Only 33.35% of all beneficiary frequencies (inclusive of double counting) in the 5Ws are reported at ward level. This percentage is likely to increase as the response goes along, though significant omissions from the first week of the response will likely never be resolved.</w:t>
      </w:r>
    </w:p>
    <w:p w14:paraId="2DFCA9F4" w14:textId="77777777" w:rsidR="00B13D04" w:rsidRDefault="00000000">
      <w:pPr>
        <w:numPr>
          <w:ilvl w:val="0"/>
          <w:numId w:val="2"/>
        </w:numPr>
      </w:pPr>
      <w:r>
        <w:t>Numerous wards in Bidur Municipality have been saturated with aid. Wards both further upstream and downstream have received much less assistance. Downstream areas (past Dhading) should be re-evaluated for inclusion in response plans.</w:t>
      </w:r>
    </w:p>
    <w:p w14:paraId="5110B16F" w14:textId="77777777" w:rsidR="00B13D04" w:rsidRDefault="00000000">
      <w:pPr>
        <w:numPr>
          <w:ilvl w:val="0"/>
          <w:numId w:val="2"/>
        </w:numPr>
      </w:pPr>
      <w:r>
        <w:t>Affected wards in Nuwakot district have received much more comprehensive aid than other locations, with multiple sectors/Clusters present in most wards.</w:t>
      </w:r>
    </w:p>
    <w:p w14:paraId="0873C738" w14:textId="77777777" w:rsidR="00B13D04" w:rsidRDefault="00000000">
      <w:pPr>
        <w:numPr>
          <w:ilvl w:val="0"/>
          <w:numId w:val="2"/>
        </w:numPr>
      </w:pPr>
      <w:r>
        <w:t>Within the core response areas of Nuwakot, Rasuwa and Dhading, there are noticeably fewer assessments planned/conducted for Aamachhodingmo, Kalika and Kispang. Assessment coverage is highest in Bidur and Uttargaya.</w:t>
      </w:r>
    </w:p>
    <w:p w14:paraId="5CAE654A" w14:textId="77777777" w:rsidR="00B13D04" w:rsidRDefault="00000000">
      <w:pPr>
        <w:numPr>
          <w:ilvl w:val="0"/>
          <w:numId w:val="2"/>
        </w:numPr>
      </w:pPr>
      <w:r>
        <w:t>Affected wards can be broken up into 4 sub-contexts to facilitate planning and analysis:</w:t>
      </w:r>
    </w:p>
    <w:p w14:paraId="2970BFB2" w14:textId="77777777" w:rsidR="00B13D04" w:rsidRDefault="00000000">
      <w:pPr>
        <w:pStyle w:val="Compact"/>
        <w:numPr>
          <w:ilvl w:val="1"/>
          <w:numId w:val="3"/>
        </w:numPr>
      </w:pPr>
      <w:r>
        <w:rPr>
          <w:b/>
          <w:bCs/>
        </w:rPr>
        <w:t>A</w:t>
      </w:r>
      <w:r>
        <w:t>: Highly-impacted, entirely rural wards with lower-than-average agricultural employment.</w:t>
      </w:r>
    </w:p>
    <w:p w14:paraId="6576D426" w14:textId="77777777" w:rsidR="00B13D04" w:rsidRDefault="00000000">
      <w:pPr>
        <w:pStyle w:val="Compact"/>
        <w:numPr>
          <w:ilvl w:val="1"/>
          <w:numId w:val="3"/>
        </w:numPr>
      </w:pPr>
      <w:r>
        <w:rPr>
          <w:b/>
          <w:bCs/>
        </w:rPr>
        <w:t>B</w:t>
      </w:r>
      <w:r>
        <w:t>: Highly-impacted, entirely urban wards with lower-than-average agricultural employment.</w:t>
      </w:r>
    </w:p>
    <w:p w14:paraId="1AB59065" w14:textId="77777777" w:rsidR="00B13D04" w:rsidRDefault="00000000">
      <w:pPr>
        <w:pStyle w:val="Compact"/>
        <w:numPr>
          <w:ilvl w:val="1"/>
          <w:numId w:val="3"/>
        </w:numPr>
      </w:pPr>
      <w:r>
        <w:rPr>
          <w:b/>
          <w:bCs/>
        </w:rPr>
        <w:t>C</w:t>
      </w:r>
      <w:r>
        <w:t>: Less impacted, entirely rural wards which are the poorest areas across all flood-affected wards.</w:t>
      </w:r>
    </w:p>
    <w:p w14:paraId="42713D52" w14:textId="77777777" w:rsidR="00B13D04" w:rsidRDefault="00000000">
      <w:pPr>
        <w:pStyle w:val="Compact"/>
        <w:numPr>
          <w:ilvl w:val="1"/>
          <w:numId w:val="3"/>
        </w:numPr>
      </w:pPr>
      <w:r>
        <w:rPr>
          <w:b/>
          <w:bCs/>
        </w:rPr>
        <w:t>D</w:t>
      </w:r>
      <w:r>
        <w:t>: Less impacted, entirely rural wards with high agricultural employment.</w:t>
      </w:r>
    </w:p>
    <w:p w14:paraId="0D4A4956" w14:textId="77777777" w:rsidR="00B13D04" w:rsidRDefault="00B13D04">
      <w:pPr>
        <w:pStyle w:val="FirstParagraph"/>
      </w:pPr>
    </w:p>
    <w:p w14:paraId="75EC13D9" w14:textId="77777777" w:rsidR="00B13D04" w:rsidRDefault="00000000">
      <w:pPr>
        <w:pStyle w:val="Heading1"/>
      </w:pPr>
      <w:bookmarkStart w:id="2" w:name="municipal-level-summary"/>
      <w:bookmarkEnd w:id="0"/>
      <w:bookmarkEnd w:id="1"/>
      <w:r>
        <w:lastRenderedPageBreak/>
        <w:t>Municipal-level summary</w:t>
      </w:r>
    </w:p>
    <w:p w14:paraId="7CC26117" w14:textId="77777777" w:rsidR="00B13D04" w:rsidRDefault="00000000">
      <w:pPr>
        <w:pStyle w:val="FirstParagraph"/>
      </w:pPr>
      <w:r>
        <w:t>From the plots below, we note that:</w:t>
      </w:r>
    </w:p>
    <w:p w14:paraId="4813B9E6" w14:textId="77777777" w:rsidR="00B13D04" w:rsidRDefault="00000000">
      <w:pPr>
        <w:numPr>
          <w:ilvl w:val="0"/>
          <w:numId w:val="4"/>
        </w:numPr>
      </w:pPr>
      <w:r>
        <w:t>Bidur, Gosaikunda and Uttargaya are the municipalities to which the majority of response resources have been allocated to date. In relation to the amount of damage they suffered, Bidur and Uttargaya have received slightly more aid than Gosaikunda.</w:t>
      </w:r>
    </w:p>
    <w:p w14:paraId="37CF80DA" w14:textId="77777777" w:rsidR="00B13D04" w:rsidRDefault="00000000">
      <w:pPr>
        <w:numPr>
          <w:ilvl w:val="0"/>
          <w:numId w:val="4"/>
        </w:numPr>
      </w:pPr>
      <w:r>
        <w:t>Populations in Galchhi and Aamachhodingmo have received a high proportion of relief interventions in comparison to the scale of damage in these areas. Benighat Rorang and Siddhalek are the opposite, though being much further downstream, flood damage in these areas is likely less severe.</w:t>
      </w:r>
    </w:p>
    <w:p w14:paraId="3BFE0744" w14:textId="73A22CE6" w:rsidR="00B13D04" w:rsidRDefault="00000000" w:rsidP="006D6B40">
      <w:pPr>
        <w:pStyle w:val="FirstParagraph"/>
      </w:pPr>
      <w:r>
        <w:t>The municipal-level plots below allow for the comparison between the number of impacted buildings, the sum of all beneficiary frequencies in the 5Ws (which includes double counting and is indicative of how humanitarian partners have allocated their resources to date) and the total population of the affected.</w:t>
      </w:r>
    </w:p>
    <w:p w14:paraId="1B699492" w14:textId="77777777" w:rsidR="00B13D04" w:rsidRDefault="00000000" w:rsidP="006D6B40">
      <w:pPr>
        <w:pStyle w:val="BodyText"/>
        <w:spacing w:before="120" w:after="120"/>
      </w:pPr>
      <w:r>
        <w:rPr>
          <w:noProof/>
        </w:rPr>
        <w:drawing>
          <wp:inline distT="0" distB="0" distL="0" distR="0" wp14:anchorId="26F3A785" wp14:editId="6C6E667D">
            <wp:extent cx="5334000" cy="4741333"/>
            <wp:effectExtent l="0" t="0" r="0" b="0"/>
            <wp:docPr id="12" name="Picture"/>
            <wp:cNvGraphicFramePr/>
            <a:graphic xmlns:a="http://schemas.openxmlformats.org/drawingml/2006/main">
              <a:graphicData uri="http://schemas.openxmlformats.org/drawingml/2006/picture">
                <pic:pic xmlns:pic="http://schemas.openxmlformats.org/drawingml/2006/picture">
                  <pic:nvPicPr>
                    <pic:cNvPr id="13" name="Picture" descr="reponse_analysis_word_files/figure-docx/unnamed-chunk-1-1.png"/>
                    <pic:cNvPicPr>
                      <a:picLocks noChangeAspect="1" noChangeArrowheads="1"/>
                    </pic:cNvPicPr>
                  </pic:nvPicPr>
                  <pic:blipFill>
                    <a:blip r:embed="rId7"/>
                    <a:stretch>
                      <a:fillRect/>
                    </a:stretch>
                  </pic:blipFill>
                  <pic:spPr bwMode="auto">
                    <a:xfrm>
                      <a:off x="0" y="0"/>
                      <a:ext cx="5334000" cy="4741333"/>
                    </a:xfrm>
                    <a:prstGeom prst="rect">
                      <a:avLst/>
                    </a:prstGeom>
                    <a:noFill/>
                    <a:ln w="9525">
                      <a:noFill/>
                      <a:headEnd/>
                      <a:tailEnd/>
                    </a:ln>
                  </pic:spPr>
                </pic:pic>
              </a:graphicData>
            </a:graphic>
          </wp:inline>
        </w:drawing>
      </w:r>
    </w:p>
    <w:p w14:paraId="3C7568DA" w14:textId="77777777" w:rsidR="00B13D04" w:rsidRDefault="00B13D04">
      <w:pPr>
        <w:pStyle w:val="BodyText"/>
      </w:pPr>
    </w:p>
    <w:p w14:paraId="7F44356E" w14:textId="77777777" w:rsidR="00B13D04" w:rsidRDefault="00000000">
      <w:pPr>
        <w:pStyle w:val="BodyText"/>
      </w:pPr>
      <w:r>
        <w:t>The NDRRMA’s stated affected population of 32,963 is solely derived from the number of persons affected by impacted buildings. As mentioned, calculations of a larger figure that also includes populations who have been cut off from essential services and income-earning opportunities are currently underway.</w:t>
      </w:r>
    </w:p>
    <w:p w14:paraId="76C2ACAD" w14:textId="77777777" w:rsidR="00B13D04" w:rsidRDefault="00000000">
      <w:pPr>
        <w:pStyle w:val="BodyText"/>
      </w:pPr>
      <w:r>
        <w:t>The map below shows individuals reached in the 5Ws with OCHA’s formula for avoiding double counting applied. Though the scale of the response in Bidur is very large, and District authorities have indicated that the municipality is saturated, the total number of individuals reached is only about double what it is in Gosaikunda.</w:t>
      </w:r>
    </w:p>
    <w:p w14:paraId="25676275" w14:textId="77777777" w:rsidR="00B13D04" w:rsidRDefault="00000000">
      <w:pPr>
        <w:pStyle w:val="BodyText"/>
      </w:pPr>
      <w:r>
        <w:t>As a final note, the 5Ws only captures the response achievements of UN Nepal and its humanitarian partners. For a more comprehensive understanding of gaps, data on the government’s response is being sought.</w:t>
      </w:r>
    </w:p>
    <w:p w14:paraId="0A38F4DB" w14:textId="77777777" w:rsidR="00B13D04" w:rsidRDefault="00B13D04">
      <w:pPr>
        <w:pStyle w:val="BodyText"/>
      </w:pPr>
    </w:p>
    <w:p w14:paraId="46161A93" w14:textId="77777777" w:rsidR="00B13D04" w:rsidRDefault="00000000">
      <w:pPr>
        <w:pStyle w:val="BodyText"/>
      </w:pPr>
      <w:hyperlink r:id="rId8">
        <w:r>
          <w:rPr>
            <w:noProof/>
          </w:rPr>
          <w:drawing>
            <wp:inline distT="0" distB="0" distL="0" distR="0" wp14:anchorId="625ECD0F" wp14:editId="69ED97D5">
              <wp:extent cx="5334000" cy="3394363"/>
              <wp:effectExtent l="0" t="0" r="0" b="0"/>
              <wp:docPr id="15" name="Picture"/>
              <wp:cNvGraphicFramePr/>
              <a:graphic xmlns:a="http://schemas.openxmlformats.org/drawingml/2006/main">
                <a:graphicData uri="http://schemas.openxmlformats.org/drawingml/2006/picture">
                  <pic:pic xmlns:pic="http://schemas.openxmlformats.org/drawingml/2006/picture">
                    <pic:nvPicPr>
                      <pic:cNvPr id="16" name="Picture" descr="./plots/municipal_max.png"/>
                      <pic:cNvPicPr>
                        <a:picLocks noChangeAspect="1" noChangeArrowheads="1"/>
                      </pic:cNvPicPr>
                    </pic:nvPicPr>
                    <pic:blipFill>
                      <a:blip r:embed="rId9"/>
                      <a:stretch>
                        <a:fillRect/>
                      </a:stretch>
                    </pic:blipFill>
                    <pic:spPr bwMode="auto">
                      <a:xfrm>
                        <a:off x="0" y="0"/>
                        <a:ext cx="5334000" cy="3394363"/>
                      </a:xfrm>
                      <a:prstGeom prst="rect">
                        <a:avLst/>
                      </a:prstGeom>
                      <a:noFill/>
                      <a:ln w="9525">
                        <a:noFill/>
                        <a:headEnd/>
                        <a:tailEnd/>
                      </a:ln>
                    </pic:spPr>
                  </pic:pic>
                </a:graphicData>
              </a:graphic>
            </wp:inline>
          </w:drawing>
        </w:r>
      </w:hyperlink>
    </w:p>
    <w:p w14:paraId="590648E6" w14:textId="77777777" w:rsidR="00B13D04" w:rsidRDefault="00B13D04">
      <w:pPr>
        <w:pStyle w:val="BodyText"/>
      </w:pPr>
    </w:p>
    <w:p w14:paraId="6127950A" w14:textId="77777777" w:rsidR="00B13D04" w:rsidRDefault="00000000">
      <w:pPr>
        <w:pStyle w:val="Heading1"/>
      </w:pPr>
      <w:bookmarkStart w:id="3" w:name="ward-level-analysis"/>
      <w:bookmarkEnd w:id="2"/>
      <w:r>
        <w:t>Ward-level analysis</w:t>
      </w:r>
    </w:p>
    <w:p w14:paraId="468D99A4" w14:textId="77777777" w:rsidR="00B13D04" w:rsidRDefault="00000000">
      <w:pPr>
        <w:pStyle w:val="FirstParagraph"/>
      </w:pPr>
      <w:r>
        <w:t>The ward is a more appropriate administrative level for analysis than the municipality. The municipalities of Bidur, Galchhi, Gosaikunda and Uttargaya are bisected by the Trishuli river and without ward-level data, it is not possible to tell which side of the river activities are occurring on.</w:t>
      </w:r>
    </w:p>
    <w:p w14:paraId="414C0FD4" w14:textId="77777777" w:rsidR="00B13D04" w:rsidRDefault="00000000">
      <w:pPr>
        <w:pStyle w:val="BodyText"/>
      </w:pPr>
      <w:r>
        <w:lastRenderedPageBreak/>
        <w:t>Only 33.35% of all beneficiary frequencies in the 5Ws are reported at ward level. Whilst most partners are able to report current activities at the ward level, backfilling the achievements from the first week of the response with ward-level data has proved to be challenging: many relief commodities were provided to municipal authorities or “distributed” to warehouses in district or municipal seats and obtaining last-mile data for these will be challenging.</w:t>
      </w:r>
    </w:p>
    <w:p w14:paraId="1E081D65" w14:textId="77777777" w:rsidR="00B13D04" w:rsidRDefault="00000000">
      <w:pPr>
        <w:pStyle w:val="BodyText"/>
      </w:pPr>
      <w:r>
        <w:t>Bearing these limitations mind, the plots below shows ward-level 5W achievements. We have used the sum of all beneficiary frequencies reached, without regard for double counting, as it provides an idea how agencies have allocated their resources to date.</w:t>
      </w:r>
    </w:p>
    <w:p w14:paraId="385C7C51" w14:textId="77777777" w:rsidR="00B13D04" w:rsidRDefault="00B13D04">
      <w:pPr>
        <w:pStyle w:val="BodyText"/>
      </w:pPr>
    </w:p>
    <w:p w14:paraId="4F19F3FC" w14:textId="77777777" w:rsidR="00B13D04" w:rsidRDefault="00000000">
      <w:pPr>
        <w:pStyle w:val="BodyText"/>
      </w:pPr>
      <w:r>
        <w:rPr>
          <w:noProof/>
        </w:rPr>
        <w:drawing>
          <wp:inline distT="0" distB="0" distL="0" distR="0" wp14:anchorId="5AE6A8FC" wp14:editId="5DEDA6E2">
            <wp:extent cx="5334000" cy="5334000"/>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1" name="Picture" descr="reponse_analysis_word_files/figure-docx/unnamed-chunk-2-1.png"/>
                    <pic:cNvPicPr>
                      <a:picLocks noChangeAspect="1" noChangeArrowheads="1"/>
                    </pic:cNvPicPr>
                  </pic:nvPicPr>
                  <pic:blipFill>
                    <a:blip r:embed="rId10"/>
                    <a:stretch>
                      <a:fillRect/>
                    </a:stretch>
                  </pic:blipFill>
                  <pic:spPr bwMode="auto">
                    <a:xfrm>
                      <a:off x="0" y="0"/>
                      <a:ext cx="5334000" cy="5334000"/>
                    </a:xfrm>
                    <a:prstGeom prst="rect">
                      <a:avLst/>
                    </a:prstGeom>
                    <a:noFill/>
                    <a:ln w="9525">
                      <a:noFill/>
                      <a:headEnd/>
                      <a:tailEnd/>
                    </a:ln>
                  </pic:spPr>
                </pic:pic>
              </a:graphicData>
            </a:graphic>
          </wp:inline>
        </w:drawing>
      </w:r>
    </w:p>
    <w:p w14:paraId="31B1EC1B" w14:textId="77777777" w:rsidR="00B13D04" w:rsidRDefault="00B13D04">
      <w:pPr>
        <w:pStyle w:val="BodyText"/>
      </w:pPr>
    </w:p>
    <w:p w14:paraId="11BB8E52" w14:textId="77777777" w:rsidR="00B13D04" w:rsidRDefault="00000000">
      <w:pPr>
        <w:pStyle w:val="BodyText"/>
      </w:pPr>
      <w:r>
        <w:lastRenderedPageBreak/>
        <w:t>There is a very high concentration of beneficiary frequencies in Bidur-2, likely due to its relative accessibility and the presence of several holding centres within that ward. This is also evident in the map of beneficiary frequencies in the map below.</w:t>
      </w:r>
    </w:p>
    <w:p w14:paraId="634F9057" w14:textId="77777777" w:rsidR="00B13D04" w:rsidRDefault="00B13D04">
      <w:pPr>
        <w:pStyle w:val="BodyText"/>
      </w:pPr>
    </w:p>
    <w:p w14:paraId="7E614E6A" w14:textId="77777777" w:rsidR="00B13D04" w:rsidRDefault="00000000">
      <w:pPr>
        <w:pStyle w:val="BodyText"/>
      </w:pPr>
      <w:hyperlink r:id="rId11">
        <w:r>
          <w:rPr>
            <w:noProof/>
          </w:rPr>
          <w:drawing>
            <wp:inline distT="0" distB="0" distL="0" distR="0" wp14:anchorId="0128160E" wp14:editId="79E2C46A">
              <wp:extent cx="5334000" cy="378229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plots/ward_reached_sum.png"/>
                      <pic:cNvPicPr>
                        <a:picLocks noChangeAspect="1" noChangeArrowheads="1"/>
                      </pic:cNvPicPr>
                    </pic:nvPicPr>
                    <pic:blipFill>
                      <a:blip r:embed="rId12"/>
                      <a:stretch>
                        <a:fillRect/>
                      </a:stretch>
                    </pic:blipFill>
                    <pic:spPr bwMode="auto">
                      <a:xfrm>
                        <a:off x="0" y="0"/>
                        <a:ext cx="5334000" cy="3782290"/>
                      </a:xfrm>
                      <a:prstGeom prst="rect">
                        <a:avLst/>
                      </a:prstGeom>
                      <a:noFill/>
                      <a:ln w="9525">
                        <a:noFill/>
                        <a:headEnd/>
                        <a:tailEnd/>
                      </a:ln>
                    </pic:spPr>
                  </pic:pic>
                </a:graphicData>
              </a:graphic>
            </wp:inline>
          </w:drawing>
        </w:r>
      </w:hyperlink>
    </w:p>
    <w:p w14:paraId="760A3F87" w14:textId="77777777" w:rsidR="00B13D04" w:rsidRDefault="00B13D04">
      <w:pPr>
        <w:pStyle w:val="BodyText"/>
      </w:pPr>
    </w:p>
    <w:p w14:paraId="0234042D" w14:textId="77777777" w:rsidR="00B13D04" w:rsidRDefault="00000000">
      <w:pPr>
        <w:pStyle w:val="BodyText"/>
      </w:pPr>
      <w:r>
        <w:t>Also from the map, we note a non-insignificant amount of humanitarian assistance that are outside of the affected areas. These are summarised in the table below. Some of these interventions were in more distant holding centres, like those in Kathmandu; however, some of the activities reported were within affected municipalities but still quite distant from the flooding.</w:t>
      </w:r>
    </w:p>
    <w:p w14:paraId="2090D5A4" w14:textId="77777777" w:rsidR="00B13D04" w:rsidRDefault="00B13D04">
      <w:pPr>
        <w:pStyle w:val="BodyText"/>
      </w:pPr>
    </w:p>
    <w:tbl>
      <w:tblPr>
        <w:tblStyle w:val="Table"/>
        <w:tblW w:w="0" w:type="auto"/>
        <w:jc w:val="center"/>
        <w:tblLook w:val="0420" w:firstRow="1" w:lastRow="0" w:firstColumn="0" w:lastColumn="0" w:noHBand="0" w:noVBand="1"/>
      </w:tblPr>
      <w:tblGrid>
        <w:gridCol w:w="2304"/>
        <w:gridCol w:w="3135"/>
        <w:gridCol w:w="1118"/>
      </w:tblGrid>
      <w:tr w:rsidR="00B13D04" w14:paraId="15B319C5" w14:textId="77777777" w:rsidTr="006D6B4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60BD42"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Ward category</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498529"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Beneficiary frequencies (5Ws)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865D39"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 of total</w:t>
            </w:r>
          </w:p>
        </w:tc>
      </w:tr>
      <w:tr w:rsidR="00B13D04" w14:paraId="3091B895" w14:textId="77777777" w:rsidTr="006D6B40">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047AD"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Affected area</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FA78AA"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119,527</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F3C9CD"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88.71</w:t>
            </w:r>
          </w:p>
        </w:tc>
      </w:tr>
      <w:tr w:rsidR="00B13D04" w14:paraId="6F53DF0B" w14:textId="77777777" w:rsidTr="006D6B40">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62F063"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Outside affected area</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ACF203"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 xml:space="preserve"> 15,213</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CD3415"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11.29</w:t>
            </w:r>
          </w:p>
        </w:tc>
      </w:tr>
    </w:tbl>
    <w:p w14:paraId="7FA0ABE4" w14:textId="77777777" w:rsidR="00B13D04" w:rsidRDefault="00B13D04">
      <w:pPr>
        <w:pStyle w:val="BodyText"/>
      </w:pPr>
    </w:p>
    <w:p w14:paraId="51EF569E" w14:textId="77777777" w:rsidR="00B13D04" w:rsidRDefault="00000000">
      <w:pPr>
        <w:pStyle w:val="Heading2"/>
      </w:pPr>
      <w:bookmarkStart w:id="4" w:name="multi-sector-programming"/>
      <w:r>
        <w:lastRenderedPageBreak/>
        <w:t>Multi-sector programming</w:t>
      </w:r>
    </w:p>
    <w:p w14:paraId="65DAD0ED" w14:textId="77777777" w:rsidR="00B13D04" w:rsidRDefault="00000000">
      <w:pPr>
        <w:pStyle w:val="FirstParagraph"/>
      </w:pPr>
      <w:r>
        <w:t>The effects of the floods were severe and multidimensional, with numerous cascading effects. The loss of life, housing and key infrastructure have given rise to Protection, WASH, Health and Nutrition and Livelihoods needs.</w:t>
      </w:r>
    </w:p>
    <w:p w14:paraId="168DF2A9" w14:textId="77777777" w:rsidR="00B13D04" w:rsidRDefault="00000000">
      <w:pPr>
        <w:pStyle w:val="BodyText"/>
      </w:pPr>
      <w:r>
        <w:t>Area-based programming is key when each ward is subject to multiple, varying contextual specificities such as the severity of access constraints, rate of urbanisation, severity of flood damage and pre-existing vulnerability and poverty.</w:t>
      </w:r>
    </w:p>
    <w:p w14:paraId="5EA2F9B6" w14:textId="77777777" w:rsidR="00B13D04" w:rsidRDefault="00B13D04">
      <w:pPr>
        <w:pStyle w:val="BodyText"/>
      </w:pPr>
    </w:p>
    <w:p w14:paraId="2D529D6D" w14:textId="77777777" w:rsidR="00B13D04" w:rsidRDefault="00000000">
      <w:pPr>
        <w:pStyle w:val="BodyText"/>
      </w:pPr>
      <w:hyperlink r:id="rId13">
        <w:r>
          <w:rPr>
            <w:noProof/>
          </w:rPr>
          <w:drawing>
            <wp:inline distT="0" distB="0" distL="0" distR="0" wp14:anchorId="0B961298" wp14:editId="17540872">
              <wp:extent cx="5334000" cy="378229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plots/ward_sectors.png"/>
                      <pic:cNvPicPr>
                        <a:picLocks noChangeAspect="1" noChangeArrowheads="1"/>
                      </pic:cNvPicPr>
                    </pic:nvPicPr>
                    <pic:blipFill>
                      <a:blip r:embed="rId14"/>
                      <a:stretch>
                        <a:fillRect/>
                      </a:stretch>
                    </pic:blipFill>
                    <pic:spPr bwMode="auto">
                      <a:xfrm>
                        <a:off x="0" y="0"/>
                        <a:ext cx="5334000" cy="3782290"/>
                      </a:xfrm>
                      <a:prstGeom prst="rect">
                        <a:avLst/>
                      </a:prstGeom>
                      <a:noFill/>
                      <a:ln w="9525">
                        <a:noFill/>
                        <a:headEnd/>
                        <a:tailEnd/>
                      </a:ln>
                    </pic:spPr>
                  </pic:pic>
                </a:graphicData>
              </a:graphic>
            </wp:inline>
          </w:drawing>
        </w:r>
      </w:hyperlink>
    </w:p>
    <w:p w14:paraId="556E1E10" w14:textId="77777777" w:rsidR="00B13D04" w:rsidRDefault="00B13D04">
      <w:pPr>
        <w:pStyle w:val="BodyText"/>
      </w:pPr>
    </w:p>
    <w:p w14:paraId="7C841FE1" w14:textId="77777777" w:rsidR="00B13D04" w:rsidRDefault="00000000">
      <w:pPr>
        <w:pStyle w:val="BodyText"/>
      </w:pPr>
      <w:r>
        <w:t>Sector presence is densest in Nuwakot. Though even within municipalities as well covered as Bidur, there is a marked difference when it comes to sector/Cluster presence on the western bank of the river.</w:t>
      </w:r>
    </w:p>
    <w:p w14:paraId="73C7F34C" w14:textId="77777777" w:rsidR="00B13D04" w:rsidRDefault="00000000">
      <w:pPr>
        <w:pStyle w:val="BodyText"/>
      </w:pPr>
      <w:r>
        <w:t>The most prolific Cluster in terms of ward-level presence is the Protection Cluster, which is working in 29 wards. Of the 37 wards in where humanitarian partners are working, 27 have more than one Cluster present. The most common Cluster combination is between Health &amp; Nutrition and Protection (19 wards together), followed by WASH and Protection (17 wards); though this should be noted that this is more of an indicator of intra-UNICEF coordination than concerted area-based programming. Shelter and WASH are present in 13 wards together.</w:t>
      </w:r>
    </w:p>
    <w:p w14:paraId="58CD8E7D" w14:textId="77777777" w:rsidR="00B13D04" w:rsidRDefault="00B13D04">
      <w:pPr>
        <w:pStyle w:val="BodyText"/>
      </w:pPr>
    </w:p>
    <w:p w14:paraId="60E03031" w14:textId="77777777" w:rsidR="00B13D04" w:rsidRDefault="00000000">
      <w:pPr>
        <w:pStyle w:val="BodyText"/>
      </w:pPr>
      <w:r>
        <w:rPr>
          <w:noProof/>
        </w:rPr>
        <w:drawing>
          <wp:inline distT="0" distB="0" distL="0" distR="0" wp14:anchorId="0DD4ABDF" wp14:editId="32D2552A">
            <wp:extent cx="5334000" cy="3259666"/>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reponse_analysis_word_files/figure-docx/unnamed-chunk-4-1.png"/>
                    <pic:cNvPicPr>
                      <a:picLocks noChangeAspect="1" noChangeArrowheads="1"/>
                    </pic:cNvPicPr>
                  </pic:nvPicPr>
                  <pic:blipFill>
                    <a:blip r:embed="rId15"/>
                    <a:stretch>
                      <a:fillRect/>
                    </a:stretch>
                  </pic:blipFill>
                  <pic:spPr bwMode="auto">
                    <a:xfrm>
                      <a:off x="0" y="0"/>
                      <a:ext cx="5334000" cy="3259666"/>
                    </a:xfrm>
                    <a:prstGeom prst="rect">
                      <a:avLst/>
                    </a:prstGeom>
                    <a:noFill/>
                    <a:ln w="9525">
                      <a:noFill/>
                      <a:headEnd/>
                      <a:tailEnd/>
                    </a:ln>
                  </pic:spPr>
                </pic:pic>
              </a:graphicData>
            </a:graphic>
          </wp:inline>
        </w:drawing>
      </w:r>
    </w:p>
    <w:p w14:paraId="13A5BF64" w14:textId="77777777" w:rsidR="00B13D04" w:rsidRDefault="00B13D04">
      <w:pPr>
        <w:pStyle w:val="BodyText"/>
      </w:pPr>
    </w:p>
    <w:p w14:paraId="58AC0EE8" w14:textId="77777777" w:rsidR="00B13D04" w:rsidRDefault="00000000">
      <w:pPr>
        <w:pStyle w:val="Heading1"/>
      </w:pPr>
      <w:bookmarkStart w:id="5" w:name="assessment-coverage"/>
      <w:bookmarkEnd w:id="3"/>
      <w:bookmarkEnd w:id="4"/>
      <w:r>
        <w:lastRenderedPageBreak/>
        <w:t>Assessment coverage</w:t>
      </w:r>
    </w:p>
    <w:p w14:paraId="5BC4C13B" w14:textId="77777777" w:rsidR="00B13D04" w:rsidRDefault="00000000">
      <w:pPr>
        <w:pStyle w:val="FirstParagraph"/>
      </w:pPr>
      <w:hyperlink r:id="rId16">
        <w:r>
          <w:rPr>
            <w:noProof/>
          </w:rPr>
          <w:drawing>
            <wp:inline distT="0" distB="0" distL="0" distR="0" wp14:anchorId="4A1A0D37" wp14:editId="6479D277">
              <wp:extent cx="5334000" cy="378229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plots/assessment_map.png"/>
                      <pic:cNvPicPr>
                        <a:picLocks noChangeAspect="1" noChangeArrowheads="1"/>
                      </pic:cNvPicPr>
                    </pic:nvPicPr>
                    <pic:blipFill>
                      <a:blip r:embed="rId17"/>
                      <a:stretch>
                        <a:fillRect/>
                      </a:stretch>
                    </pic:blipFill>
                    <pic:spPr bwMode="auto">
                      <a:xfrm>
                        <a:off x="0" y="0"/>
                        <a:ext cx="5334000" cy="3782290"/>
                      </a:xfrm>
                      <a:prstGeom prst="rect">
                        <a:avLst/>
                      </a:prstGeom>
                      <a:noFill/>
                      <a:ln w="9525">
                        <a:noFill/>
                        <a:headEnd/>
                        <a:tailEnd/>
                      </a:ln>
                    </pic:spPr>
                  </pic:pic>
                </a:graphicData>
              </a:graphic>
            </wp:inline>
          </w:drawing>
        </w:r>
      </w:hyperlink>
    </w:p>
    <w:p w14:paraId="2635E44E" w14:textId="77777777" w:rsidR="00B13D04" w:rsidRDefault="00B13D04">
      <w:pPr>
        <w:pStyle w:val="BodyText"/>
      </w:pPr>
    </w:p>
    <w:p w14:paraId="7C843F14" w14:textId="77777777" w:rsidR="00B13D04" w:rsidRDefault="00000000">
      <w:pPr>
        <w:pStyle w:val="BodyText"/>
      </w:pPr>
      <w:r>
        <w:t>Bidur in Nuwakot and Uttargaya in Rasuwa are the most assessed locations across the flood-affected areas. Within the core response areas of Nuwakot, Rasuwa and Dhading, there are noticeably fewer assessments planned/conducted for Aamachhodingmo, Kalika and Kispang. And, as had been noted in previous IM meetings, there is much lower coverage in the downstream parts of the affected areas, especially in the areas past Dhading.</w:t>
      </w:r>
    </w:p>
    <w:p w14:paraId="7874CBB0" w14:textId="77777777" w:rsidR="00B13D04" w:rsidRDefault="00000000">
      <w:pPr>
        <w:pStyle w:val="BodyText"/>
      </w:pPr>
      <w:r>
        <w:t xml:space="preserve">In terms of assessed sectors, Shelter and NFIs and CCCM were the subject of the highest number of assessments, followed by Food Security and Health. Of the 12 assessments currently recorded in the </w:t>
      </w:r>
      <w:hyperlink r:id="rId18">
        <w:r>
          <w:rPr>
            <w:rStyle w:val="Hyperlink"/>
          </w:rPr>
          <w:t>Assessment Registry</w:t>
        </w:r>
      </w:hyperlink>
      <w:r>
        <w:t>, only 2 were specific to affected facilities (pertaining to Health); the other 10 were more wide-ranging and will be expected to provide details about the living conditions, coping mechanisms and future plans of affected communities.</w:t>
      </w:r>
    </w:p>
    <w:p w14:paraId="33B70EA8" w14:textId="77777777" w:rsidR="00B13D04" w:rsidRDefault="00B13D04">
      <w:pPr>
        <w:pStyle w:val="BodyText"/>
      </w:pPr>
    </w:p>
    <w:p w14:paraId="10BA1648" w14:textId="77777777" w:rsidR="00B13D04" w:rsidRDefault="00000000">
      <w:pPr>
        <w:pStyle w:val="BodyText"/>
      </w:pPr>
      <w:r>
        <w:rPr>
          <w:noProof/>
        </w:rPr>
        <w:lastRenderedPageBreak/>
        <w:drawing>
          <wp:inline distT="0" distB="0" distL="0" distR="0" wp14:anchorId="308C171E" wp14:editId="095FA55B">
            <wp:extent cx="5334000" cy="2370666"/>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reponse_analysis_word_files/figure-docx/unnamed-chunk-6-1.png"/>
                    <pic:cNvPicPr>
                      <a:picLocks noChangeAspect="1" noChangeArrowheads="1"/>
                    </pic:cNvPicPr>
                  </pic:nvPicPr>
                  <pic:blipFill>
                    <a:blip r:embed="rId19"/>
                    <a:stretch>
                      <a:fillRect/>
                    </a:stretch>
                  </pic:blipFill>
                  <pic:spPr bwMode="auto">
                    <a:xfrm>
                      <a:off x="0" y="0"/>
                      <a:ext cx="5334000" cy="2370666"/>
                    </a:xfrm>
                    <a:prstGeom prst="rect">
                      <a:avLst/>
                    </a:prstGeom>
                    <a:noFill/>
                    <a:ln w="9525">
                      <a:noFill/>
                      <a:headEnd/>
                      <a:tailEnd/>
                    </a:ln>
                  </pic:spPr>
                </pic:pic>
              </a:graphicData>
            </a:graphic>
          </wp:inline>
        </w:drawing>
      </w:r>
    </w:p>
    <w:p w14:paraId="4DF57410" w14:textId="77777777" w:rsidR="00B13D04" w:rsidRDefault="00B13D04">
      <w:pPr>
        <w:pStyle w:val="BodyText"/>
      </w:pPr>
    </w:p>
    <w:p w14:paraId="5C727495" w14:textId="77777777" w:rsidR="00B13D04" w:rsidRDefault="00000000">
      <w:pPr>
        <w:pStyle w:val="BodyText"/>
      </w:pPr>
      <w:r>
        <w:t>Given the various methodologies being employed and differing sampling frames employed, there is no mathematical way to reconcile the results of these various assessments. However, more in-depth secondary data reviews should be possible for Bidur and Belkotgadhi in Nuwakot, Gosaikunda and Uttargaya in Rasuwa, and Galchhi and Gajuri in Dhading. However, reconciling planned and conducted assessments into the 4 sub-contexts mentioned in the next section will be much easier.</w:t>
      </w:r>
    </w:p>
    <w:p w14:paraId="2DEF721D" w14:textId="77777777" w:rsidR="00B13D04" w:rsidRDefault="00000000">
      <w:pPr>
        <w:pStyle w:val="BodyText"/>
      </w:pPr>
      <w:r>
        <w:t xml:space="preserve">For more details, please refer to the Assessment Registry </w:t>
      </w:r>
      <w:hyperlink r:id="rId20">
        <w:r>
          <w:rPr>
            <w:rStyle w:val="Hyperlink"/>
          </w:rPr>
          <w:t>here</w:t>
        </w:r>
      </w:hyperlink>
      <w:r>
        <w:t>.</w:t>
      </w:r>
    </w:p>
    <w:p w14:paraId="55F99149" w14:textId="77777777" w:rsidR="00B13D04" w:rsidRDefault="00B13D04">
      <w:pPr>
        <w:pStyle w:val="BodyText"/>
      </w:pPr>
    </w:p>
    <w:p w14:paraId="624773AF" w14:textId="77777777" w:rsidR="00B13D04" w:rsidRDefault="00000000">
      <w:pPr>
        <w:pStyle w:val="Heading1"/>
      </w:pPr>
      <w:bookmarkStart w:id="6" w:name="prioritisation-and-sub-contexts"/>
      <w:bookmarkEnd w:id="5"/>
      <w:r>
        <w:t>Prioritisation and sub-contexts</w:t>
      </w:r>
    </w:p>
    <w:p w14:paraId="6A2DFC6E" w14:textId="77777777" w:rsidR="00B13D04" w:rsidRDefault="00000000">
      <w:pPr>
        <w:pStyle w:val="FirstParagraph"/>
      </w:pPr>
      <w:r>
        <w:t>To aid sampling for assessments as well as operational planning and analysis, we have performed K-means clustering on the affected wards. K-means clustering is a machine learning method that groups data points based on their similarities.</w:t>
      </w:r>
    </w:p>
    <w:p w14:paraId="0139EB78" w14:textId="77777777" w:rsidR="00B13D04" w:rsidRDefault="00000000">
      <w:pPr>
        <w:pStyle w:val="BodyText"/>
      </w:pPr>
      <w:r>
        <w:t>The table below provides an overview of the means of a few of the selected variables which we used to perform the clustering:</w:t>
      </w:r>
    </w:p>
    <w:p w14:paraId="260B1677" w14:textId="77777777" w:rsidR="00B13D04" w:rsidRDefault="00B13D04">
      <w:pPr>
        <w:pStyle w:val="BodyText"/>
      </w:pPr>
    </w:p>
    <w:p w14:paraId="5DA3C516" w14:textId="77777777" w:rsidR="006D6B40" w:rsidRDefault="006D6B40">
      <w:pPr>
        <w:pStyle w:val="BodyText"/>
      </w:pPr>
    </w:p>
    <w:p w14:paraId="4251CFBA" w14:textId="77777777" w:rsidR="006D6B40" w:rsidRDefault="006D6B40">
      <w:pPr>
        <w:pStyle w:val="BodyText"/>
      </w:pPr>
    </w:p>
    <w:p w14:paraId="6D72098E" w14:textId="77777777" w:rsidR="006D6B40" w:rsidRDefault="006D6B40">
      <w:pPr>
        <w:pStyle w:val="BodyText"/>
      </w:pPr>
    </w:p>
    <w:p w14:paraId="62098221" w14:textId="77777777" w:rsidR="006D6B40" w:rsidRDefault="006D6B40">
      <w:pPr>
        <w:pStyle w:val="BodyText"/>
      </w:pPr>
    </w:p>
    <w:tbl>
      <w:tblPr>
        <w:tblStyle w:val="Table"/>
        <w:tblW w:w="0" w:type="auto"/>
        <w:jc w:val="center"/>
        <w:tblLook w:val="0420" w:firstRow="1" w:lastRow="0" w:firstColumn="0" w:lastColumn="0" w:noHBand="0" w:noVBand="1"/>
      </w:tblPr>
      <w:tblGrid>
        <w:gridCol w:w="812"/>
        <w:gridCol w:w="1325"/>
        <w:gridCol w:w="1557"/>
        <w:gridCol w:w="1927"/>
        <w:gridCol w:w="1291"/>
        <w:gridCol w:w="1208"/>
        <w:gridCol w:w="1240"/>
      </w:tblGrid>
      <w:tr w:rsidR="00B13D04" w14:paraId="3A05FA7F" w14:textId="77777777" w:rsidTr="006D6B4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698BBB"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lastRenderedPageBreak/>
              <w:t>Group</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224242"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Population Density</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54E4D0"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Total Dependency Ratio</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DAC0FA"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Agricultural Employement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2A0040"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Poorest Quintile %</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587164"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Impacted Buildings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02D082"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Population</w:t>
            </w:r>
          </w:p>
        </w:tc>
      </w:tr>
      <w:tr w:rsidR="00B13D04" w14:paraId="4EB7E64B" w14:textId="77777777" w:rsidTr="006D6B40">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7A9DD"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A</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C40F4"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234.89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8496EC"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45.41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EC41D"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44.88</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D640FC"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8.12</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7E315"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247.27</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F66D0"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34,854</w:t>
            </w:r>
          </w:p>
        </w:tc>
      </w:tr>
      <w:tr w:rsidR="00B13D04" w14:paraId="63E19B10" w14:textId="77777777" w:rsidTr="006D6B40">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AB5F3"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B</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2D191"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720.21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5E7A8C"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49.84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90304B"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51.89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96226"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4.57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57086D"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205.00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AEF0D"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69,079</w:t>
            </w:r>
          </w:p>
        </w:tc>
      </w:tr>
      <w:tr w:rsidR="00B13D04" w14:paraId="50DBC21E" w14:textId="77777777" w:rsidTr="006D6B40">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06B0BE"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C</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B7537F"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82.14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0B0D40"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60.33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08091F"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76.31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52BEEF"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47.96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73940B"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49.17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32CD4"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24,340</w:t>
            </w:r>
          </w:p>
        </w:tc>
      </w:tr>
      <w:tr w:rsidR="00B13D04" w14:paraId="1DC9D283" w14:textId="77777777" w:rsidTr="006D6B40">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B2D18B"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D</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1D7066"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181.79</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6DEE05"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51.70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50FE1F"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72.61</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31CFF8"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14.20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04155E"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32.67</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B47A6F" w14:textId="77777777" w:rsidR="00B13D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78,799</w:t>
            </w:r>
          </w:p>
        </w:tc>
      </w:tr>
    </w:tbl>
    <w:p w14:paraId="629DAB6D" w14:textId="77777777" w:rsidR="00B13D04" w:rsidRDefault="00B13D04">
      <w:pPr>
        <w:pStyle w:val="BodyText"/>
      </w:pPr>
    </w:p>
    <w:p w14:paraId="55C66B82" w14:textId="77777777" w:rsidR="00B13D04" w:rsidRDefault="00000000">
      <w:pPr>
        <w:pStyle w:val="BodyText"/>
      </w:pPr>
      <w:r>
        <w:t>The affected wards have been been clustered into 4 groups:</w:t>
      </w:r>
    </w:p>
    <w:p w14:paraId="38173E2F" w14:textId="77777777" w:rsidR="00B13D04" w:rsidRDefault="00000000">
      <w:pPr>
        <w:pStyle w:val="BodyText"/>
      </w:pPr>
      <w:r>
        <w:rPr>
          <w:b/>
          <w:bCs/>
        </w:rPr>
        <w:t>A</w:t>
      </w:r>
      <w:r>
        <w:t>: Highly-impacted, entirely rural wards with lower-than-average agricultural employment.</w:t>
      </w:r>
    </w:p>
    <w:p w14:paraId="6EB95063" w14:textId="77777777" w:rsidR="00B13D04" w:rsidRDefault="00000000">
      <w:pPr>
        <w:pStyle w:val="BodyText"/>
      </w:pPr>
      <w:r>
        <w:rPr>
          <w:b/>
          <w:bCs/>
        </w:rPr>
        <w:t>B</w:t>
      </w:r>
      <w:r>
        <w:t>: Highly-impacted, entirely urban wards with lower-than-average agricultural employment.</w:t>
      </w:r>
    </w:p>
    <w:p w14:paraId="564DD276" w14:textId="77777777" w:rsidR="00B13D04" w:rsidRDefault="00000000">
      <w:pPr>
        <w:pStyle w:val="BodyText"/>
      </w:pPr>
      <w:r>
        <w:rPr>
          <w:b/>
          <w:bCs/>
        </w:rPr>
        <w:t>C</w:t>
      </w:r>
      <w:r>
        <w:t>: Less impacted, entirely rural wards which are the poorest areas across all flood-affected wards.</w:t>
      </w:r>
    </w:p>
    <w:p w14:paraId="028FD34F" w14:textId="77777777" w:rsidR="00B13D04" w:rsidRDefault="00000000">
      <w:pPr>
        <w:pStyle w:val="BodyText"/>
      </w:pPr>
      <w:r>
        <w:rPr>
          <w:b/>
          <w:bCs/>
        </w:rPr>
        <w:t>D</w:t>
      </w:r>
      <w:r>
        <w:t>: Less impacted, entirely rural wards with high agricultural employment.</w:t>
      </w:r>
    </w:p>
    <w:p w14:paraId="62AA3A64" w14:textId="77777777" w:rsidR="00B13D04" w:rsidRDefault="00000000">
      <w:pPr>
        <w:pStyle w:val="BodyText"/>
      </w:pPr>
      <w:r>
        <w:rPr>
          <w:b/>
          <w:bCs/>
        </w:rPr>
        <w:t>A</w:t>
      </w:r>
      <w:r>
        <w:t xml:space="preserve"> and </w:t>
      </w:r>
      <w:r>
        <w:rPr>
          <w:b/>
          <w:bCs/>
        </w:rPr>
        <w:t>B</w:t>
      </w:r>
      <w:r>
        <w:t xml:space="preserve"> should be prioritised, with different programme sets, given their greatly different population densities and rates of urbanisation. The types of reconstruction and infrastructure needs in both areas will also vary greatly.</w:t>
      </w:r>
    </w:p>
    <w:p w14:paraId="378EED1E" w14:textId="77777777" w:rsidR="00B13D04" w:rsidRDefault="00000000">
      <w:pPr>
        <w:pStyle w:val="BodyText"/>
      </w:pPr>
      <w:r>
        <w:t xml:space="preserve">Activities in </w:t>
      </w:r>
      <w:r>
        <w:rPr>
          <w:b/>
          <w:bCs/>
        </w:rPr>
        <w:t>C</w:t>
      </w:r>
      <w:r>
        <w:t xml:space="preserve"> should be seek seek to bridge recovery with longer-term development and poverty alleviation interventions given high percentage of poor persons in these areas.</w:t>
      </w:r>
    </w:p>
    <w:p w14:paraId="012B59C4" w14:textId="77777777" w:rsidR="00B13D04" w:rsidRDefault="00000000">
      <w:pPr>
        <w:pStyle w:val="BodyText"/>
      </w:pPr>
      <w:r>
        <w:t>These groups are plotted in the map below:</w:t>
      </w:r>
    </w:p>
    <w:p w14:paraId="771F5AB7" w14:textId="77777777" w:rsidR="00B13D04" w:rsidRDefault="00B13D04">
      <w:pPr>
        <w:pStyle w:val="BodyText"/>
      </w:pPr>
    </w:p>
    <w:p w14:paraId="08E80643" w14:textId="77777777" w:rsidR="00B13D04" w:rsidRDefault="00000000">
      <w:pPr>
        <w:pStyle w:val="BodyText"/>
      </w:pPr>
      <w:hyperlink r:id="rId21">
        <w:r>
          <w:rPr>
            <w:noProof/>
          </w:rPr>
          <w:drawing>
            <wp:inline distT="0" distB="0" distL="0" distR="0" wp14:anchorId="3557442A" wp14:editId="6FDECA42">
              <wp:extent cx="5334000" cy="3782290"/>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plots/wards_clustered.png"/>
                      <pic:cNvPicPr>
                        <a:picLocks noChangeAspect="1" noChangeArrowheads="1"/>
                      </pic:cNvPicPr>
                    </pic:nvPicPr>
                    <pic:blipFill>
                      <a:blip r:embed="rId22"/>
                      <a:stretch>
                        <a:fillRect/>
                      </a:stretch>
                    </pic:blipFill>
                    <pic:spPr bwMode="auto">
                      <a:xfrm>
                        <a:off x="0" y="0"/>
                        <a:ext cx="5334000" cy="3782290"/>
                      </a:xfrm>
                      <a:prstGeom prst="rect">
                        <a:avLst/>
                      </a:prstGeom>
                      <a:noFill/>
                      <a:ln w="9525">
                        <a:noFill/>
                        <a:headEnd/>
                        <a:tailEnd/>
                      </a:ln>
                    </pic:spPr>
                  </pic:pic>
                </a:graphicData>
              </a:graphic>
            </wp:inline>
          </w:drawing>
        </w:r>
      </w:hyperlink>
    </w:p>
    <w:p w14:paraId="4844E705" w14:textId="77777777" w:rsidR="00B13D04" w:rsidRDefault="00B13D04">
      <w:pPr>
        <w:pStyle w:val="BodyText"/>
      </w:pPr>
    </w:p>
    <w:p w14:paraId="165F8AE1" w14:textId="77777777" w:rsidR="00B13D04" w:rsidRDefault="00000000">
      <w:pPr>
        <w:pStyle w:val="BodyText"/>
      </w:pPr>
      <w:r>
        <w:t>The specific indicators used in the clustering were:</w:t>
      </w:r>
    </w:p>
    <w:p w14:paraId="6A5F87F7" w14:textId="77777777" w:rsidR="00B13D04" w:rsidRDefault="00000000">
      <w:pPr>
        <w:pStyle w:val="Compact"/>
        <w:numPr>
          <w:ilvl w:val="0"/>
          <w:numId w:val="5"/>
        </w:numPr>
      </w:pPr>
      <w:r>
        <w:t>Total population</w:t>
      </w:r>
    </w:p>
    <w:p w14:paraId="6DF011B4" w14:textId="77777777" w:rsidR="00B13D04" w:rsidRDefault="00000000">
      <w:pPr>
        <w:pStyle w:val="Compact"/>
        <w:numPr>
          <w:ilvl w:val="0"/>
          <w:numId w:val="5"/>
        </w:numPr>
      </w:pPr>
      <w:r>
        <w:t>Population density</w:t>
      </w:r>
    </w:p>
    <w:p w14:paraId="2DE413B6" w14:textId="77777777" w:rsidR="00B13D04" w:rsidRDefault="00000000">
      <w:pPr>
        <w:pStyle w:val="Compact"/>
        <w:numPr>
          <w:ilvl w:val="0"/>
          <w:numId w:val="5"/>
        </w:numPr>
      </w:pPr>
      <w:r>
        <w:t>Sex ratio</w:t>
      </w:r>
    </w:p>
    <w:p w14:paraId="21D5078F" w14:textId="77777777" w:rsidR="00B13D04" w:rsidRDefault="00000000">
      <w:pPr>
        <w:pStyle w:val="Compact"/>
        <w:numPr>
          <w:ilvl w:val="0"/>
          <w:numId w:val="5"/>
        </w:numPr>
      </w:pPr>
      <w:r>
        <w:t>Average household size</w:t>
      </w:r>
    </w:p>
    <w:p w14:paraId="048FB5A5" w14:textId="77777777" w:rsidR="00B13D04" w:rsidRDefault="00000000">
      <w:pPr>
        <w:pStyle w:val="Compact"/>
        <w:numPr>
          <w:ilvl w:val="0"/>
          <w:numId w:val="5"/>
        </w:numPr>
      </w:pPr>
      <w:r>
        <w:t>Total dependency ratio</w:t>
      </w:r>
    </w:p>
    <w:p w14:paraId="1838335D" w14:textId="77777777" w:rsidR="00B13D04" w:rsidRDefault="00000000">
      <w:pPr>
        <w:pStyle w:val="Compact"/>
        <w:numPr>
          <w:ilvl w:val="0"/>
          <w:numId w:val="5"/>
        </w:numPr>
      </w:pPr>
      <w:r>
        <w:t>% Rural</w:t>
      </w:r>
    </w:p>
    <w:p w14:paraId="3F174802" w14:textId="77777777" w:rsidR="00B13D04" w:rsidRDefault="00000000">
      <w:pPr>
        <w:pStyle w:val="Compact"/>
        <w:numPr>
          <w:ilvl w:val="0"/>
          <w:numId w:val="5"/>
        </w:numPr>
      </w:pPr>
      <w:r>
        <w:t>Disability prevalence rate</w:t>
      </w:r>
    </w:p>
    <w:p w14:paraId="7B324AAB" w14:textId="77777777" w:rsidR="00B13D04" w:rsidRDefault="00000000">
      <w:pPr>
        <w:pStyle w:val="Compact"/>
        <w:numPr>
          <w:ilvl w:val="0"/>
          <w:numId w:val="5"/>
        </w:numPr>
      </w:pPr>
      <w:r>
        <w:t>Agricultural employment %</w:t>
      </w:r>
    </w:p>
    <w:p w14:paraId="53676912" w14:textId="77777777" w:rsidR="00B13D04" w:rsidRDefault="00000000">
      <w:pPr>
        <w:pStyle w:val="Compact"/>
        <w:numPr>
          <w:ilvl w:val="0"/>
          <w:numId w:val="5"/>
        </w:numPr>
      </w:pPr>
      <w:r>
        <w:t>% Poorest quintile</w:t>
      </w:r>
    </w:p>
    <w:p w14:paraId="4136C78F" w14:textId="77777777" w:rsidR="00B13D04" w:rsidRDefault="00000000">
      <w:pPr>
        <w:pStyle w:val="Compact"/>
        <w:numPr>
          <w:ilvl w:val="0"/>
          <w:numId w:val="5"/>
        </w:numPr>
      </w:pPr>
      <w:r>
        <w:t>% Inadequate house quality</w:t>
      </w:r>
    </w:p>
    <w:p w14:paraId="6D9281A1" w14:textId="77777777" w:rsidR="00B13D04" w:rsidRDefault="00000000">
      <w:pPr>
        <w:pStyle w:val="Compact"/>
        <w:numPr>
          <w:ilvl w:val="0"/>
          <w:numId w:val="5"/>
        </w:numPr>
      </w:pPr>
      <w:r>
        <w:t>% Unimproved drinking water</w:t>
      </w:r>
    </w:p>
    <w:p w14:paraId="2883DEAC" w14:textId="77777777" w:rsidR="00B13D04" w:rsidRDefault="00000000">
      <w:pPr>
        <w:pStyle w:val="Compact"/>
        <w:numPr>
          <w:ilvl w:val="0"/>
          <w:numId w:val="5"/>
        </w:numPr>
      </w:pPr>
      <w:r>
        <w:t>% Unimproved sanitation</w:t>
      </w:r>
    </w:p>
    <w:p w14:paraId="66023696" w14:textId="77777777" w:rsidR="00B13D04" w:rsidRDefault="00000000">
      <w:pPr>
        <w:pStyle w:val="Compact"/>
        <w:numPr>
          <w:ilvl w:val="0"/>
          <w:numId w:val="5"/>
        </w:numPr>
      </w:pPr>
      <w:r>
        <w:t>Impacted buildings</w:t>
      </w:r>
    </w:p>
    <w:p w14:paraId="7DF50AFB" w14:textId="77777777" w:rsidR="00B13D04" w:rsidRDefault="00000000">
      <w:pPr>
        <w:pStyle w:val="FirstParagraph"/>
      </w:pPr>
      <w:r>
        <w:t xml:space="preserve">The dataset containing these groups may be downloaded </w:t>
      </w:r>
      <w:hyperlink r:id="rId23">
        <w:r>
          <w:rPr>
            <w:rStyle w:val="Hyperlink"/>
          </w:rPr>
          <w:t>here</w:t>
        </w:r>
      </w:hyperlink>
      <w:r>
        <w:t>.</w:t>
      </w:r>
    </w:p>
    <w:p w14:paraId="3CB32E01" w14:textId="77777777" w:rsidR="00B13D04" w:rsidRDefault="00B13D04">
      <w:pPr>
        <w:pStyle w:val="BodyText"/>
      </w:pPr>
    </w:p>
    <w:p w14:paraId="40F8A8B7" w14:textId="77777777" w:rsidR="00B13D04" w:rsidRDefault="00000000">
      <w:pPr>
        <w:pStyle w:val="Heading1"/>
      </w:pPr>
      <w:bookmarkStart w:id="7" w:name="useful-links-and-datasets"/>
      <w:bookmarkEnd w:id="6"/>
      <w:r>
        <w:lastRenderedPageBreak/>
        <w:t>Useful links and datasets</w:t>
      </w:r>
    </w:p>
    <w:bookmarkStart w:id="8" w:name="digitised-ndrrma-municipal-damage-tables"/>
    <w:p w14:paraId="1E6D51D8" w14:textId="77777777" w:rsidR="00B13D04" w:rsidRDefault="00000000">
      <w:pPr>
        <w:pStyle w:val="Heading3"/>
      </w:pPr>
      <w:r>
        <w:fldChar w:fldCharType="begin"/>
      </w:r>
      <w:r>
        <w:instrText>HYPERLINK "https://drive.google.com/drive/folders/1GehdusDNji6HGQGQ6R7cEHNJC3BwwNau?usp=drive_link" \h</w:instrText>
      </w:r>
      <w:r>
        <w:fldChar w:fldCharType="separate"/>
      </w:r>
      <w:r>
        <w:rPr>
          <w:rStyle w:val="Hyperlink"/>
        </w:rPr>
        <w:t>Digitised NDRRMA Municipal Damage Tables</w:t>
      </w:r>
      <w:r>
        <w:fldChar w:fldCharType="end"/>
      </w:r>
    </w:p>
    <w:bookmarkStart w:id="9" w:name="Xbdc8c2752429291a27821931b69bbbaffc4683a"/>
    <w:bookmarkEnd w:id="8"/>
    <w:p w14:paraId="62E98B61" w14:textId="77777777" w:rsidR="00B13D04" w:rsidRDefault="00000000">
      <w:pPr>
        <w:pStyle w:val="Heading3"/>
      </w:pPr>
      <w:r>
        <w:fldChar w:fldCharType="begin"/>
      </w:r>
      <w:r>
        <w:instrText>HYPERLINK "https://drive.google.com/drive/folders/1dHDzi-gLe0ldOduwGwVUUcas7Qar2CEK?usp=drive_link" \h</w:instrText>
      </w:r>
      <w:r>
        <w:fldChar w:fldCharType="separate"/>
      </w:r>
      <w:r>
        <w:rPr>
          <w:rStyle w:val="Hyperlink"/>
        </w:rPr>
        <w:t>Ward groups, including Impacted Buildings by Ward</w:t>
      </w:r>
      <w:r>
        <w:fldChar w:fldCharType="end"/>
      </w:r>
    </w:p>
    <w:bookmarkStart w:id="10" w:name="w-dashboard"/>
    <w:bookmarkEnd w:id="9"/>
    <w:p w14:paraId="3495061E" w14:textId="77777777" w:rsidR="00B13D04" w:rsidRDefault="00000000">
      <w:pPr>
        <w:pStyle w:val="Heading3"/>
      </w:pPr>
      <w:r>
        <w:fldChar w:fldCharType="begin"/>
      </w:r>
      <w:r>
        <w:instrText>HYPERLINK "https://app.powerbi.com/view?r=eyJrIjoiZTQ0MGE1NWEtOWJlMi00YmU4LWFhYjMtMTg0OTRmNTRmMGQ1IiwidCI6IjBmOWUzNWRiLTU0NGYtNGY2MC1iZGNjLTVlYTQxNmU2ZGM3MCIsImMiOjh9" \h</w:instrText>
      </w:r>
      <w:r>
        <w:fldChar w:fldCharType="separate"/>
      </w:r>
      <w:r>
        <w:rPr>
          <w:rStyle w:val="Hyperlink"/>
        </w:rPr>
        <w:t>5W Dashboard</w:t>
      </w:r>
      <w:r>
        <w:fldChar w:fldCharType="end"/>
      </w:r>
    </w:p>
    <w:bookmarkStart w:id="11" w:name="X04b89db14aa42c55e1e16a837b92c6864f191db"/>
    <w:bookmarkEnd w:id="10"/>
    <w:p w14:paraId="54188CBB" w14:textId="77777777" w:rsidR="00B13D04" w:rsidRDefault="00000000">
      <w:pPr>
        <w:pStyle w:val="Heading3"/>
      </w:pPr>
      <w:r>
        <w:fldChar w:fldCharType="begin"/>
      </w:r>
      <w:r>
        <w:instrText>HYPERLINK "https://drive.google.com/drive/folders/1gNkJJR6Q4psoCrWyBcUyzqL9wcKVVRbb?usp=drive_link" \h</w:instrText>
      </w:r>
      <w:r>
        <w:fldChar w:fldCharType="separate"/>
      </w:r>
      <w:r>
        <w:rPr>
          <w:rStyle w:val="Hyperlink"/>
        </w:rPr>
        <w:t>Consolidated Census Ward-level Household and Population</w:t>
      </w:r>
      <w:r>
        <w:fldChar w:fldCharType="end"/>
      </w:r>
    </w:p>
    <w:p w14:paraId="4CDBC7FC" w14:textId="77777777" w:rsidR="00B13D04" w:rsidRDefault="00000000">
      <w:pPr>
        <w:pStyle w:val="FirstParagraph"/>
      </w:pPr>
      <w:r>
        <w:t>Variables include a breakdown of housing materials, wealth quintile, school attendance and household WASH.</w:t>
      </w:r>
    </w:p>
    <w:bookmarkStart w:id="12" w:name="logistics-cluster-access-map"/>
    <w:bookmarkEnd w:id="11"/>
    <w:p w14:paraId="2693F786" w14:textId="77777777" w:rsidR="00B13D04" w:rsidRDefault="00000000">
      <w:pPr>
        <w:pStyle w:val="Heading3"/>
      </w:pPr>
      <w:r>
        <w:fldChar w:fldCharType="begin"/>
      </w:r>
      <w:r>
        <w:instrText>HYPERLINK "https://logie.logcluster.org/?op=npl" \h</w:instrText>
      </w:r>
      <w:r>
        <w:fldChar w:fldCharType="separate"/>
      </w:r>
      <w:r>
        <w:rPr>
          <w:rStyle w:val="Hyperlink"/>
        </w:rPr>
        <w:t>Logistics Cluster Access Map</w:t>
      </w:r>
      <w:r>
        <w:fldChar w:fldCharType="end"/>
      </w:r>
    </w:p>
    <w:p w14:paraId="158B9584" w14:textId="77777777" w:rsidR="00B13D04" w:rsidRDefault="00000000">
      <w:pPr>
        <w:pStyle w:val="FirstParagraph"/>
      </w:pPr>
      <w:r>
        <w:t>Updated regularly.</w:t>
      </w:r>
      <w:bookmarkEnd w:id="7"/>
      <w:bookmarkEnd w:id="12"/>
    </w:p>
    <w:sectPr w:rsidR="00B13D0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47DD5" w14:textId="77777777" w:rsidR="00940086" w:rsidRDefault="00940086" w:rsidP="006D6B40">
      <w:pPr>
        <w:spacing w:after="0"/>
      </w:pPr>
      <w:r>
        <w:separator/>
      </w:r>
    </w:p>
  </w:endnote>
  <w:endnote w:type="continuationSeparator" w:id="0">
    <w:p w14:paraId="536874DE" w14:textId="77777777" w:rsidR="00940086" w:rsidRDefault="00940086" w:rsidP="006D6B4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02467" w14:textId="77777777" w:rsidR="00940086" w:rsidRDefault="00940086" w:rsidP="006D6B40">
      <w:pPr>
        <w:spacing w:after="0"/>
      </w:pPr>
      <w:r>
        <w:separator/>
      </w:r>
    </w:p>
  </w:footnote>
  <w:footnote w:type="continuationSeparator" w:id="0">
    <w:p w14:paraId="0B8F5011" w14:textId="77777777" w:rsidR="00940086" w:rsidRDefault="00940086" w:rsidP="006D6B4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EA425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652EE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04579525">
    <w:abstractNumId w:val="0"/>
  </w:num>
  <w:num w:numId="2" w16cid:durableId="1280843753">
    <w:abstractNumId w:val="1"/>
  </w:num>
  <w:num w:numId="3" w16cid:durableId="837619163">
    <w:abstractNumId w:val="1"/>
  </w:num>
  <w:num w:numId="4" w16cid:durableId="525293745">
    <w:abstractNumId w:val="1"/>
  </w:num>
  <w:num w:numId="5" w16cid:durableId="15738577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13D04"/>
    <w:rsid w:val="006D6B40"/>
    <w:rsid w:val="00940086"/>
    <w:rsid w:val="00B13D04"/>
    <w:rsid w:val="00C70F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EAED1B"/>
  <w15:docId w15:val="{486378AA-F2B1-4F7E-B9A1-E19EC5BC1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rsid w:val="006D6B40"/>
    <w:pPr>
      <w:tabs>
        <w:tab w:val="center" w:pos="4513"/>
        <w:tab w:val="right" w:pos="9026"/>
      </w:tabs>
      <w:spacing w:after="0"/>
    </w:pPr>
  </w:style>
  <w:style w:type="character" w:customStyle="1" w:styleId="HeaderChar">
    <w:name w:val="Header Char"/>
    <w:basedOn w:val="DefaultParagraphFont"/>
    <w:link w:val="Header"/>
    <w:rsid w:val="006D6B40"/>
  </w:style>
  <w:style w:type="paragraph" w:styleId="Footer">
    <w:name w:val="footer"/>
    <w:basedOn w:val="Normal"/>
    <w:link w:val="FooterChar"/>
    <w:rsid w:val="006D6B40"/>
    <w:pPr>
      <w:tabs>
        <w:tab w:val="center" w:pos="4513"/>
        <w:tab w:val="right" w:pos="9026"/>
      </w:tabs>
      <w:spacing w:after="0"/>
    </w:pPr>
  </w:style>
  <w:style w:type="character" w:customStyle="1" w:styleId="FooterChar">
    <w:name w:val="Footer Char"/>
    <w:basedOn w:val="DefaultParagraphFont"/>
    <w:link w:val="Footer"/>
    <w:rsid w:val="006D6B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w.githubusercontent.com/nepal-rasuwa-trishuli-floods-undac/nepal_floods_general/main/plots/municipal_max.png" TargetMode="External"/><Relationship Id="rId13" Type="http://schemas.openxmlformats.org/officeDocument/2006/relationships/hyperlink" Target="https://raw.githubusercontent.com/nepal-rasuwa-trishuli-floods-undac/nepal_floods_general/main/plots/ward_sectors.png" TargetMode="External"/><Relationship Id="rId18" Type="http://schemas.openxmlformats.org/officeDocument/2006/relationships/hyperlink" Target="https://docs.google.com/spreadsheets/d/1UwPxOlgHHFpaKJd3NZUIjgBrSr7dVdTzN7GXaM6sMQk/edit?usp=drive_link" TargetMode="External"/><Relationship Id="rId3" Type="http://schemas.openxmlformats.org/officeDocument/2006/relationships/settings" Target="settings.xml"/><Relationship Id="rId21" Type="http://schemas.openxmlformats.org/officeDocument/2006/relationships/hyperlink" Target="https://raw.githubusercontent.com/nepal-rasuwa-trishuli-floods-undac/nepal_floods_general/main/plots/wards_clustered.png" TargetMode="Externa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raw.githubusercontent.com/nepal-rasuwa-trishuli-floods-undac/nepal_floods_general/main/plots/assessment_map.png" TargetMode="External"/><Relationship Id="rId20" Type="http://schemas.openxmlformats.org/officeDocument/2006/relationships/hyperlink" Target="https://docs.google.com/spreadsheets/d/1UwPxOlgHHFpaKJd3NZUIjgBrSr7dVdTzN7GXaM6sMQk/edit?usp=drive_link"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raw.githubusercontent.com/nepal-rasuwa-trishuli-floods-undac/nepal_floods_general/main/plots/ward_reached_sum.png"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drive.google.com/drive/folders/1dHDzi-gLe0ldOduwGwVUUcas7Qar2CEK?usp=drive_link" TargetMode="External"/><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12</Pages>
  <Words>1780</Words>
  <Characters>10148</Characters>
  <Application>Microsoft Office Word</Application>
  <DocSecurity>0</DocSecurity>
  <Lines>84</Lines>
  <Paragraphs>23</Paragraphs>
  <ScaleCrop>false</ScaleCrop>
  <Company/>
  <LinksUpToDate>false</LinksUpToDate>
  <CharactersWithSpaces>11905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Nepal Floods Response Analysis</dc:title>
  <dc:creator>UN Nepal &amp; iMMAP</dc:creator>
  <cp:keywords/>
  <cp:lastModifiedBy>sean ng</cp:lastModifiedBy>
  <cp:revision>2</cp:revision>
  <dcterms:created xsi:type="dcterms:W3CDTF">2026-09-24T07:59:00Z</dcterms:created>
  <dcterms:modified xsi:type="dcterms:W3CDTF">2026-09-24T08:08:00Z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modified">
    <vt:lpwstr>2026-09-23</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