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12FEEAAC" w:rsidR="00AD09F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285EAC">
        <w:rPr>
          <w:rFonts w:ascii="Verdana" w:hAnsi="Verdana"/>
        </w:rPr>
        <w:instrText xml:space="preserve"> ADDIN ZOTERO_ITEM CSL_CITATION {"citationID":"J44LBD7M","properties":{"formattedCitation":"[1]","plainCitation":"[1]","noteIndex":0},"citationItems":[{"id":374,"uris":["http://zotero.org/users/13606484/items/AMMR7DX5"],"itemData":{"id":374,"type":"article-journal","container-title":"Journal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{"citationID":"uOQdMhmj","properties":{"formattedCitation":"[2\\uc0\\u8211{}4]","plainCitation":"[2–4]","noteIndex":0},"citationItems":[{"id":334,"uris":["http://zotero.org/users/13606484/items/UD6EBCPV"],"itemData":{"id":334,"type":"article-journal","container-title":"Journal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285EAC">
        <w:rPr>
          <w:rFonts w:ascii="Cambria Math" w:hAnsi="Cambria Math" w:cs="Cambria Math"/>
        </w:rPr>
        <w:instrText>‐</w:instrText>
      </w:r>
      <w:r w:rsidR="00285EAC">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285EAC">
        <w:rPr>
          <w:rFonts w:ascii="Cambria Math" w:hAnsi="Cambria Math" w:cs="Cambria Math"/>
        </w:rPr>
        <w:instrText>‐</w:instrText>
      </w:r>
      <w:r w:rsidR="00285EAC">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{"citationID":"dmB3LTRH","properties":{"formattedCitation":"[5]","plainCitation":"[5]","noteIndex":0},"citationItems":[{"id":337,"uris":["http://zotero.org/users/13606484/items/UKP6CFJA"],"itemData":{"id":337,"type":"article-journal","abstract":"Background\n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{"citationID":"IFUH5Wpt","properties":{"formattedCitation":"[6]","plainCitation":"[6]","noteIndex":0},"citationItems":[{"id":43,"uris":["http://zotero.org/users/13606484/items/EQCHRRUB"],"itemData":{"id":43,"type":"article-journal","abstract":"Kinematics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543FE043" w:rsidR="00E331E2" w:rsidRDefault="00AD09F2" w:rsidP="00662A7A">
      <w:pPr>
        <w:spacing w:line="360" w:lineRule="auto"/>
        <w:jc w:val="both"/>
        <w:rPr>
          <w:rFonts w:ascii="Verdana" w:hAnsi="Verdana"/>
        </w:rPr>
      </w:pPr>
      <w:r w:rsidRPr="00AD09F2">
        <w:rPr>
          <w:rFonts w:ascii="Verdana" w:hAnsi="Verdana"/>
        </w:rPr>
        <w:t>These alterations in knee kinematics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285EAC">
        <w:rPr>
          <w:rFonts w:ascii="Verdana" w:hAnsi="Verdana"/>
        </w:rPr>
        <w:instrText xml:space="preserve"> ADDIN ZOTERO_ITEM CSL_CITATION {"citationID":"a989hTEI","properties":{"formattedCitation":"[7]","plainCitation":"[7]","noteIndex":0},"citationItems":[{"id":356,"uris":["http://zotero.org/users/13606484/items/KNQ4XDU5"],"itemData":{"id":356,"type":"article-journal","abstract":"Abstract\n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285EAC">
        <w:rPr>
          <w:rFonts w:ascii="Verdana" w:hAnsi="Verdana"/>
        </w:rPr>
        <w:instrText xml:space="preserve"> ADDIN ZOTERO_ITEM CSL_CITATION {"citationID":"aTvgtUAw","properties":{"formattedCitation":"[8]","plainCitation":"[8]","noteIndex":0},"citationItems":[{"id":363,"uris":["http://zotero.org/users/13606484/items/33C9YFS3"],"itemData":{"id":363,"type":"article-journal","container-title":"Medicine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D86A65">
        <w:rPr>
          <w:rFonts w:ascii="Verdana" w:hAnsi="Verdana"/>
        </w:rPr>
        <w:t>. Indeed</w:t>
      </w:r>
      <w:r w:rsidR="00514353">
        <w:rPr>
          <w:rFonts w:ascii="Verdana" w:hAnsi="Verdana"/>
        </w:rPr>
        <w:t xml:space="preserve">, </w:t>
      </w:r>
      <w:r w:rsidR="001F54D5">
        <w:rPr>
          <w:rFonts w:ascii="Verdana" w:hAnsi="Verdana"/>
        </w:rPr>
        <w:t xml:space="preserve">specific </w:t>
      </w:r>
      <w:r w:rsidR="00747AC0">
        <w:rPr>
          <w:rFonts w:ascii="Verdana" w:hAnsi="Verdana"/>
        </w:rPr>
        <w:t>alterations in tibiofemoral kinematics</w:t>
      </w:r>
      <w:r w:rsidR="001F54D5">
        <w:rPr>
          <w:rFonts w:ascii="Verdana" w:hAnsi="Verdana"/>
        </w:rPr>
        <w:t>, such as</w:t>
      </w:r>
      <w:r w:rsidR="00D424DC">
        <w:rPr>
          <w:rFonts w:ascii="Verdana" w:hAnsi="Verdana"/>
        </w:rPr>
        <w:t xml:space="preserve"> increased adduction moment and altered load bearing patterns</w:t>
      </w:r>
      <w:r w:rsidR="00747AC0">
        <w:rPr>
          <w:rFonts w:ascii="Verdana" w:hAnsi="Verdana"/>
        </w:rPr>
        <w:t xml:space="preserve"> have been associated with the progression of knee </w:t>
      </w:r>
      <w:r w:rsidR="0080495F">
        <w:rPr>
          <w:rFonts w:ascii="Verdana" w:hAnsi="Verdana"/>
        </w:rPr>
        <w:t>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285EAC">
        <w:rPr>
          <w:rFonts w:ascii="Verdana" w:hAnsi="Verdana"/>
        </w:rPr>
        <w:instrText xml:space="preserve"> ADDIN ZOTERO_ITEM CSL_CITATION {"citationID":"8sKiETHB","properties":{"formattedCitation":"[9]","plainCitation":"[9]","noteIndex":0},"citationItems":[{"id":52,"uris":["http://zotero.org/users/13606484/items/44NUWRNI"],"itemData":{"id":52,"type":"article-journal","abstract":"PURPOSE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22E33590"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 xml:space="preserve">tool for studying tibiofemoral kinematics in vivo, offering insights into both normal and pathological knee function under realistic conditions. </w:t>
      </w:r>
      <w:r w:rsidR="006D58D1" w:rsidRPr="006D58D1">
        <w:rPr>
          <w:rFonts w:ascii="Verdana" w:hAnsi="Verdana"/>
        </w:rPr>
        <w:t>While not yet widely adopted as a standard approach, several studies have demonstrated its utility in capturing knee motion.</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285EAC">
        <w:rPr>
          <w:rFonts w:ascii="Verdana" w:hAnsi="Verdana"/>
        </w:rPr>
        <w:instrText xml:space="preserve"> ADDIN ZOTERO_ITEM CSL_CITATION {"citationID":"jxWikQVR","properties":{"formattedCitation":"[10,11]","plainCitation":"[10,11]","noteIndex":0},"citationItems":[{"id":111,"uris":["http://zotero.org/users/13606484/items/DNEQ2FLV"],"itemData":{"id":111,"type":"article-journal","abstract":"The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{"citationID":"p712ZOIX","properties":{"formattedCitation":"[12,13]","plainCitation":"[12,13]","noteIndex":0},"citationItems":[{"id":74,"uris":["http://zotero.org/users/13606484/items/IHEW8LPD"],"itemData":{"id":74,"type":"article-journal","abstract":"Background:\n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{"citationID":"qDHRPlJs","properties":{"formattedCitation":"[14,15]","plainCitation":"[14,15]","noteIndex":0},"citationItems":[{"id":41,"uris":["http://zotero.org/users/13606484/items/8RI8DC6D"],"itemData":{"id":41,"type":"article-journal","abstract":"In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85EAC">
        <w:rPr>
          <w:rFonts w:ascii="Cambria Math" w:hAnsi="Cambria Math" w:cs="Cambria Math"/>
        </w:rPr>
        <w:instrText>∼</w:instrText>
      </w:r>
      <w:r w:rsidR="00285EAC">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285EAC">
        <w:rPr>
          <w:rFonts w:ascii="Verdana" w:hAnsi="Verdana"/>
        </w:rPr>
        <w:instrText xml:space="preserve"> ADDIN ZOTERO_ITEM CSL_CITATION {"citationID":"tMVHFeMv","properties":{"formattedCitation":"[16,17]","plainCitation":"[16,17]","noteIndex":0},"citationItems":[{"id":89,"uris":["http://zotero.org/users/13606484/items/J7EDB27W"],"itemData":{"id":89,"type":"article-journal","abstract":"Abstract\n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40F86A12"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285EAC">
        <w:rPr>
          <w:rFonts w:ascii="Verdana" w:hAnsi="Verdana"/>
        </w:rPr>
        <w:instrText xml:space="preserve"> ADDIN ZOTERO_ITEM CSL_CITATION {"citationID":"emYlb5HY","properties":{"formattedCitation":"[10,16]","plainCitation":"[10,16]","noteIndex":0},"citationItems":[{"id":111,"uris":["http://zotero.org/users/13606484/items/DNEQ2FLV"],"itemData":{"id":111,"type":"article-journal","abstract":"The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w:t>
      </w:r>
      <w:r w:rsidR="004B3816" w:rsidRPr="004B3816">
        <w:rPr>
          <w:rFonts w:ascii="Verdana" w:hAnsi="Verdana"/>
        </w:rPr>
        <w:lastRenderedPageBreak/>
        <w:t xml:space="preserve">studies have employed landmark-based tracking methods, such as using a semi-automatic tracking algorithm where bony landmarks are manually identified in the first dynamic frame and then tracked across subsequent frames using normalized cross-correlation </w:t>
      </w:r>
      <w:r w:rsidR="004B3816">
        <w:rPr>
          <w:rFonts w:ascii="Verdana" w:hAnsi="Verdana"/>
        </w:rPr>
        <w:fldChar w:fldCharType="begin"/>
      </w:r>
      <w:r w:rsidR="00285EAC">
        <w:rPr>
          <w:rFonts w:ascii="Verdana" w:hAnsi="Verdana"/>
        </w:rPr>
        <w:instrText xml:space="preserve"> ADDIN ZOTERO_ITEM CSL_CITATION {"citationID":"LWSEeqkf","properties":{"formattedCitation":"[11]","plainCitation":"[11]","noteIndex":0},"citationItems":[{"id":45,"uris":["http://zotero.org/users/13606484/items/H2KK6ALT"],"itemData":{"id":45,"type":"article-journal","abstract":"Abnormal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4B3816" w:rsidRPr="004B3816">
        <w:rPr>
          <w:rFonts w:ascii="Verdana" w:hAnsi="Verdana"/>
        </w:rPr>
        <w:t xml:space="preserve">, or manually defining landmarks on bones in each frame and tracking their 2D coordinates throughout the motion sequence </w:t>
      </w:r>
      <w:r w:rsidR="004B3816">
        <w:rPr>
          <w:rFonts w:ascii="Verdana" w:hAnsi="Verdana"/>
        </w:rPr>
        <w:fldChar w:fldCharType="begin"/>
      </w:r>
      <w:r w:rsidR="00285EAC">
        <w:rPr>
          <w:rFonts w:ascii="Verdana" w:hAnsi="Verdana"/>
        </w:rPr>
        <w:instrText xml:space="preserve"> ADDIN ZOTERO_ITEM CSL_CITATION {"citationID":"XhgAKimN","properties":{"formattedCitation":"[13]","plainCitation":"[13]","noteIndex":0},"citationItems":[{"id":44,"uris":["http://zotero.org/users/13606484/items/B2T5L9UC"],"itemData":{"id":44,"type":"article-journal","abstract":"To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p>
    <w:p w14:paraId="7444E6D0" w14:textId="71CFA99B"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dynamic MRI data. Our method leverages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r w:rsidR="00B0240E">
        <w:rPr>
          <w:rFonts w:ascii="Verdana" w:hAnsi="Verdana"/>
        </w:rPr>
        <w:t>analysis</w:t>
      </w:r>
      <w:r w:rsidRPr="00080F67">
        <w:rPr>
          <w:rFonts w:ascii="Verdana" w:hAnsi="Verdana"/>
        </w:rPr>
        <w:t xml:space="preserve"> process.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84AF8F7" w14:textId="7AFDDDB7"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285EAC">
        <w:rPr>
          <w:rFonts w:ascii="Verdana" w:hAnsi="Verdana"/>
        </w:rPr>
        <w:instrText xml:space="preserve"> ADDIN ZOTERO_ITEM CSL_CITATION {"citationID":"R43nCaHI","properties":{"formattedCitation":"[18]","plainCitation":"[18]","noteIndex":0},"citationItems":[{"id":38,"uris":["http://zotero.org/users/13606484/items/3GHZ4QKR"],"itemData":{"id":38,"type":"article-journal","abstract":"Introduction: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285EAC">
        <w:rPr>
          <w:rFonts w:ascii="Cambria Math" w:hAnsi="Cambria Math" w:cs="Cambria Math"/>
        </w:rPr>
        <w:instrText>∼</w:instrText>
      </w:r>
      <w:r w:rsidR="00285EAC">
        <w:rPr>
          <w:rFonts w:ascii="Verdana" w:hAnsi="Verdana"/>
        </w:rPr>
        <w:instrText>40</w:instrText>
      </w:r>
      <w:r w:rsidR="00285EAC">
        <w:rPr>
          <w:rFonts w:ascii="Verdana" w:hAnsi="Verdana" w:cs="Verdana"/>
        </w:rPr>
        <w:instrText>◦</w:instrText>
      </w:r>
      <w:r w:rsidR="00285EAC">
        <w:rPr>
          <w:rFonts w:ascii="Verdana" w:hAnsi="Verdana"/>
        </w:rPr>
        <w:instrText xml:space="preserve"> of knee </w:instrText>
      </w:r>
      <w:r w:rsidR="00285EAC">
        <w:rPr>
          <w:rFonts w:ascii="Verdana" w:hAnsi="Verdana" w:cs="Verdana"/>
        </w:rPr>
        <w:instrText>ﬂ</w:instrText>
      </w:r>
      <w:r w:rsidR="00285EAC">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w:t>
      </w:r>
      <w:r w:rsidR="00FE7140" w:rsidRPr="00FE7140">
        <w:rPr>
          <w:rFonts w:ascii="Verdana" w:hAnsi="Verdana"/>
        </w:rPr>
        <w:lastRenderedPageBreak/>
        <w:t>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One coil was positioned beneath the knee, with the posterior aspect of the knee 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75CE0B36"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{"citationID":"rmLVeIiE","properties":{"formattedCitation":"[19,20]","plainCitation":"[19,20]","noteIndex":0},"citationItems":[{"id":14,"uris":["http://zotero.org/users/13606484/items/LFU7F3I4"],"itemData":{"id":14,"type":"article-journal","abstract":"In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285EAC">
        <w:rPr>
          <w:rFonts w:ascii="Cambria Math" w:eastAsia="Verdana" w:hAnsi="Cambria Math" w:cs="Cambria Math"/>
        </w:rPr>
        <w:instrText>‐</w:instrText>
      </w:r>
      <w:r w:rsidR="00285EAC">
        <w:rPr>
          <w:rFonts w:ascii="Verdana" w:eastAsia="Verdana" w:hAnsi="Verdana" w:cs="Verdana"/>
        </w:rPr>
        <w:instrText>ratio–based cardiac cine imaging by using interspersed one</w:instrText>
      </w:r>
      <w:r w:rsidR="00285EAC">
        <w:rPr>
          <w:rFonts w:ascii="Cambria Math" w:eastAsia="Verdana" w:hAnsi="Cambria Math" w:cs="Cambria Math"/>
        </w:rPr>
        <w:instrText>‐</w:instrText>
      </w:r>
      <w:r w:rsidR="00285EAC">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285EAC">
        <w:rPr>
          <w:rFonts w:ascii="Cambria Math" w:eastAsia="Verdana" w:hAnsi="Cambria Math" w:cs="Cambria Math"/>
        </w:rPr>
        <w:instrText>‐</w:instrText>
      </w:r>
      <w:r w:rsidR="00285EAC">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285EAC">
        <w:rPr>
          <w:rFonts w:ascii="Cambria Math" w:eastAsia="Verdana" w:hAnsi="Cambria Math" w:cs="Cambria Math"/>
        </w:rPr>
        <w:instrText>‐</w:instrText>
      </w:r>
      <w:r w:rsidR="00285EAC">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(SNR) and contrast</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285EAC">
        <w:rPr>
          <w:rFonts w:ascii="Cambria Math" w:eastAsia="Verdana" w:hAnsi="Cambria Math" w:cs="Cambria Math"/>
        </w:rPr>
        <w:instrText>‐</w:instrText>
      </w:r>
      <w:r w:rsidR="00285EAC">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285EAC">
        <w:rPr>
          <w:rFonts w:ascii="Cambria Math" w:eastAsia="Verdana" w:hAnsi="Cambria Math" w:cs="Cambria Math"/>
        </w:rPr>
        <w:instrText>‐</w:instrText>
      </w:r>
      <w:r w:rsidR="00285EAC">
        <w:rPr>
          <w:rFonts w:ascii="Verdana" w:eastAsia="Verdana" w:hAnsi="Verdana" w:cs="Verdana"/>
        </w:rPr>
        <w:instrText>ratio radial MRI using one</w:instrText>
      </w:r>
      <w:r w:rsidR="00285EAC">
        <w:rPr>
          <w:rFonts w:ascii="Cambria Math" w:eastAsia="Verdana" w:hAnsi="Cambria Math" w:cs="Cambria Math"/>
        </w:rPr>
        <w:instrText>‐</w:instrText>
      </w:r>
      <w:r w:rsidR="00285EAC">
        <w:rPr>
          <w:rFonts w:ascii="Verdana" w:eastAsia="Verdana" w:hAnsi="Verdana" w:cs="Verdana"/>
        </w:rPr>
        <w:instrText>dimensional navigators","volume":"40","author":[{"family":"Krämer","given":"Martin"},{"family":"Herrmann","given":"Karl</w:instrText>
      </w:r>
      <w:r w:rsidR="00285EAC">
        <w:rPr>
          <w:rFonts w:ascii="Cambria Math" w:eastAsia="Verdana" w:hAnsi="Cambria Math" w:cs="Cambria Math"/>
        </w:rPr>
        <w:instrText>‐</w:instrText>
      </w:r>
      <w:r w:rsidR="00285EAC">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7E588DE"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Micronor,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using optical signals. The optical signals were first converted to electrical signals by a controller (MR330, Micronor),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RedLab 1208</w:t>
      </w:r>
      <w:r w:rsidR="00F06488">
        <w:rPr>
          <w:rFonts w:ascii="Verdana" w:eastAsia="Verdana" w:hAnsi="Verdana" w:cs="Verdana"/>
        </w:rPr>
        <w:t>FS</w:t>
      </w:r>
      <w:r w:rsidR="00A15404" w:rsidRPr="5FE521F8">
        <w:rPr>
          <w:rFonts w:ascii="Verdana" w:eastAsia="Verdana" w:hAnsi="Verdana" w:cs="Verdana"/>
        </w:rPr>
        <w:t xml:space="preserve"> </w:t>
      </w:r>
      <w:r w:rsidR="6F01215C" w:rsidRPr="5FE521F8">
        <w:rPr>
          <w:rFonts w:ascii="Verdana" w:eastAsia="Verdana" w:hAnsi="Verdana" w:cs="Verdana"/>
        </w:rPr>
        <w:t>Meihaus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w:t>
      </w:r>
      <w:r w:rsidR="6F01215C" w:rsidRPr="5FE521F8">
        <w:rPr>
          <w:rFonts w:ascii="Verdana" w:eastAsia="Verdana" w:hAnsi="Verdana" w:cs="Verdana"/>
        </w:rPr>
        <w:lastRenderedPageBreak/>
        <w:t xml:space="preserve">then sorted into </w:t>
      </w:r>
      <w:commentRangeStart w:id="0"/>
      <w:commentRangeStart w:id="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0"/>
      <w:r w:rsidR="00CE6183">
        <w:rPr>
          <w:rStyle w:val="CommentReference"/>
        </w:rPr>
        <w:commentReference w:id="0"/>
      </w:r>
      <w:commentRangeEnd w:id="1"/>
      <w:r w:rsidR="00DF1163">
        <w:rPr>
          <w:rStyle w:val="CommentReference"/>
        </w:rPr>
        <w:commentReference w:id="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{"citationID":"dvSfYDgi","properties":{"formattedCitation":"[21]","plainCitation":"[21]","noteIndex":0},"citationItems":[{"id":39,"uris":["http://zotero.org/users/13606484/items/Z5TTFMES"],"itemData":{"id":39,"type":"article-journal","abstract":"To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2"/>
      <w:commentRangeStart w:id="3"/>
      <w:r w:rsidR="6F01215C" w:rsidRPr="5FE521F8">
        <w:rPr>
          <w:rFonts w:ascii="Verdana" w:eastAsia="Verdana" w:hAnsi="Verdana" w:cs="Verdana"/>
        </w:rPr>
        <w:t xml:space="preserve">This process was repeated for the entire range of motion, </w:t>
      </w:r>
      <w:commentRangeEnd w:id="2"/>
      <w:r w:rsidR="00CE6183">
        <w:rPr>
          <w:rStyle w:val="CommentReference"/>
        </w:rPr>
        <w:commentReference w:id="2"/>
      </w:r>
      <w:commentRangeEnd w:id="3"/>
      <w:r w:rsidR="00160333">
        <w:rPr>
          <w:rStyle w:val="CommentReference"/>
        </w:rPr>
        <w:commentReference w:id="3"/>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imagING) toolbox</w:t>
      </w:r>
      <w:r w:rsidR="00F163CC">
        <w:rPr>
          <w:rFonts w:ascii="Verdana" w:eastAsia="Verdana" w:hAnsi="Verdana" w:cs="Verdana"/>
        </w:rPr>
        <w:t xml:space="preserve"> </w:t>
      </w:r>
      <w:r w:rsidR="00405411">
        <w:rPr>
          <w:rFonts w:ascii="Verdana" w:eastAsia="Verdana" w:hAnsi="Verdana" w:cs="Verdana"/>
        </w:rPr>
        <w:fldChar w:fldCharType="begin"/>
      </w:r>
      <w:r w:rsidR="00285EAC">
        <w:rPr>
          <w:rFonts w:ascii="Verdana" w:eastAsia="Verdana" w:hAnsi="Verdana" w:cs="Verdana"/>
        </w:rPr>
        <w:instrText xml:space="preserve"> ADDIN ZOTERO_ITEM CSL_CITATION {"citationID":"awOFoVY7","properties":{"formattedCitation":"[22]","plainCitation":"[22]","noteIndex":0},"citationItems":[{"id":358,"uris":["http://zotero.org/users/13606484/items/ZWA7FMSX"],"itemData":{"id":358,"type":"article-journal","container-title":"Journal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0A86F7B7"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4951F1F"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w:t>
      </w:r>
      <w:r w:rsidR="004766A3" w:rsidRPr="004766A3">
        <w:rPr>
          <w:rFonts w:ascii="Verdana" w:eastAsia="Verdana" w:hAnsi="Verdana" w:cs="Verdana"/>
        </w:rPr>
        <w:lastRenderedPageBreak/>
        <w:t xml:space="preserve">connected (e.g., diagonally adjacent pixels </w:t>
      </w:r>
      <w:r w:rsidR="004766A3">
        <w:rPr>
          <w:rFonts w:ascii="Verdana" w:eastAsia="Verdana" w:hAnsi="Verdana" w:cs="Verdana"/>
        </w:rPr>
        <w:t xml:space="preserve">were considered to be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4"/>
      <w:commentRangeStart w:id="5"/>
      <w:r w:rsidR="006F50D0" w:rsidRPr="006F50D0">
        <w:rPr>
          <w:rFonts w:ascii="Verdana" w:eastAsia="Verdana" w:hAnsi="Verdana" w:cs="Verdana"/>
        </w:rPr>
        <w:t xml:space="preserve">once </w:t>
      </w:r>
      <w:commentRangeEnd w:id="4"/>
      <w:r w:rsidR="00F704F5">
        <w:rPr>
          <w:rStyle w:val="CommentReference"/>
        </w:rPr>
        <w:commentReference w:id="4"/>
      </w:r>
      <w:commentRangeEnd w:id="5"/>
      <w:r w:rsidR="00601B08">
        <w:rPr>
          <w:rStyle w:val="CommentReference"/>
        </w:rPr>
        <w:commentReference w:id="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15C48EC5"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{"citationID":"Ac8vNC6L","properties":{"formattedCitation":"[25]","plainCitation":"[25]","noteIndex":0},"citationItems":[{"id":360,"uris":["http://zotero.org/users/13606484/items/TARBP5PZ"],"itemData":{"id":360,"type":"paper-conference","container-title":"Proc.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downsampled to </w:t>
      </w:r>
      <w:commentRangeStart w:id="6"/>
      <w:commentRangeStart w:id="7"/>
      <w:r w:rsidR="00E763D1" w:rsidRPr="00E763D1">
        <w:rPr>
          <w:rFonts w:ascii="Verdana" w:eastAsia="Verdana" w:hAnsi="Verdana" w:cs="Verdana"/>
        </w:rPr>
        <w:t xml:space="preserve">80 equidistant points </w:t>
      </w:r>
      <w:commentRangeEnd w:id="6"/>
      <w:r w:rsidR="00F704F5">
        <w:rPr>
          <w:rStyle w:val="CommentReference"/>
        </w:rPr>
        <w:commentReference w:id="6"/>
      </w:r>
      <w:commentRangeEnd w:id="7"/>
      <w:r w:rsidR="00601B08">
        <w:rPr>
          <w:rStyle w:val="CommentReference"/>
        </w:rPr>
        <w:commentReference w:id="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{"citationID":"mnRsz9gi","properties":{"formattedCitation":"[26]","plainCitation":"[26]","noteIndex":0},"citationItems":[{"id":341,"uris":["http://zotero.org/users/13606484/items/JPMV4STU"],"itemData":{"id":341,"type":"book","collection-title":"Applied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223608F6"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 xml:space="preserve">This process assumed rigid body motion, </w:t>
      </w:r>
      <w:commentRangeStart w:id="8"/>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8"/>
      <w:r w:rsidR="00B91489">
        <w:rPr>
          <w:rStyle w:val="CommentReference"/>
        </w:rPr>
        <w:commentReference w:id="8"/>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D33765">
        <w:rPr>
          <w:rFonts w:ascii="Verdana" w:eastAsia="Verdana" w:hAnsi="Verdana" w:cs="Verdana"/>
          <w:b/>
          <w:bCs/>
        </w:rPr>
        <w:t xml:space="preserve">Figure </w:t>
      </w:r>
      <w:r w:rsidR="00D33765" w:rsidRPr="00D33765">
        <w:rPr>
          <w:rFonts w:ascii="Verdana" w:eastAsia="Verdana" w:hAnsi="Verdana" w:cs="Verdana"/>
          <w:b/>
          <w:bCs/>
        </w:rPr>
        <w:t>2</w:t>
      </w:r>
      <w:r w:rsidR="00C357D9" w:rsidRPr="00C357D9">
        <w:rPr>
          <w:rFonts w:ascii="Verdana" w:eastAsia="Verdana" w:hAnsi="Verdana" w:cs="Verdana"/>
        </w:rPr>
        <w:t xml:space="preserve"> demonstrates this process, showing how reference points established in the initial frame (orange dots) can be transformed to align with the bone edge at any point during the motion cycle through the computation of optimal transformation parameters.</w:t>
      </w:r>
    </w:p>
    <w:p w14:paraId="71954DB6" w14:textId="41E07486"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 xml:space="preserve">defined. This function quantifies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between </w:t>
      </w:r>
      <w:r w:rsidR="00C554DB">
        <w:rPr>
          <w:rFonts w:ascii="Verdana" w:eastAsia="Verdana" w:hAnsi="Verdana" w:cs="Verdana"/>
        </w:rPr>
        <w:t xml:space="preserve">the target frame and transformed frame, with a perfect alignment resulting in an output of 0. The goal was to find the combination of transformation parameters that minimizes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3BDD9FD0" w:rsidR="00736AA6" w:rsidRDefault="00736AA6" w:rsidP="00AA5660">
      <w:pPr>
        <w:spacing w:line="360" w:lineRule="auto"/>
        <w:jc w:val="both"/>
        <w:rPr>
          <w:rFonts w:ascii="Verdana" w:eastAsia="Verdana" w:hAnsi="Verdana" w:cs="Verdana"/>
        </w:rPr>
      </w:pPr>
      <w:r>
        <w:rPr>
          <w:rFonts w:ascii="Verdana" w:eastAsia="Verdana" w:hAnsi="Verdana" w:cs="Verdana"/>
        </w:rPr>
        <w:lastRenderedPageBreak/>
        <w:t xml:space="preserve">The Nelder-Mead method was used to minimize the cost function and obtain the frame-to-frame transformation parameters </w:t>
      </w:r>
      <w:r>
        <w:rPr>
          <w:rFonts w:ascii="Verdana" w:eastAsia="Verdana" w:hAnsi="Verdana" w:cs="Verdana"/>
        </w:rPr>
        <w:fldChar w:fldCharType="begin"/>
      </w:r>
      <w:r w:rsidR="00285EAC">
        <w:rPr>
          <w:rFonts w:ascii="Verdana" w:eastAsia="Verdana" w:hAnsi="Verdana" w:cs="Verdana"/>
        </w:rPr>
        <w:instrText xml:space="preserve"> ADDIN ZOTERO_ITEM CSL_CITATION {"citationID":"4O5myLmp","properties":{"formattedCitation":"[27]","plainCitation":"[27]","noteIndex":0},"citationItems":[{"id":132,"uris":["http://zotero.org/users/13606484/items/DQU2LQ4M"],"itemData":{"id":132,"type":"article-journal","container-title":"The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285EAC" w:rsidRPr="00285EAC">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6C7C1F8A" w14:textId="4A68B3A0"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13695F89"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 xml:space="preserve">Figure </w:t>
      </w:r>
      <w:r w:rsidR="00D33765">
        <w:rPr>
          <w:rFonts w:ascii="Verdana" w:eastAsia="Verdana" w:hAnsi="Verdana" w:cs="Verdana"/>
          <w:b/>
          <w:bCs/>
        </w:rPr>
        <w:t>3</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AADF42F"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285EAC">
        <w:rPr>
          <w:rFonts w:ascii="Verdana" w:hAnsi="Verdana"/>
        </w:rPr>
        <w:instrText xml:space="preserve"> ADDIN ZOTERO_ITEM CSL_CITATION {"citationID":"Jl6dS0ok","properties":{"formattedCitation":"[28]","plainCitation":"[28]","noteIndex":0},"citationItems":[{"id":361,"uris":["http://zotero.org/users/13606484/items/P24V6AWL"],"itemData":{"id":361,"type":"software","abstract":"napari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285EAC" w:rsidRPr="00285EAC">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0AA19854" w14:textId="6D31ABBA" w:rsidR="00005D93" w:rsidRDefault="00005D93" w:rsidP="000423D6">
      <w:pPr>
        <w:spacing w:line="360" w:lineRule="auto"/>
        <w:jc w:val="both"/>
        <w:rPr>
          <w:rFonts w:ascii="Verdana" w:hAnsi="Verdana"/>
        </w:rPr>
      </w:pPr>
      <w:r w:rsidRPr="00005D93">
        <w:rPr>
          <w:rFonts w:ascii="Verdana" w:hAnsi="Verdana"/>
        </w:rPr>
        <w:t>Multiple kinematic parameters were extracted from both manual and semi-automated segmentations</w:t>
      </w:r>
      <w:r>
        <w:rPr>
          <w:rFonts w:ascii="Verdana" w:hAnsi="Verdana"/>
        </w:rPr>
        <w:t>. For rotation, p</w:t>
      </w:r>
      <w:r w:rsidR="00F05686">
        <w:rPr>
          <w:rFonts w:ascii="Verdana" w:hAnsi="Verdana"/>
        </w:rPr>
        <w:t>rincip</w:t>
      </w:r>
      <w:r w:rsidR="003F22ED">
        <w:rPr>
          <w:rFonts w:ascii="Verdana" w:hAnsi="Verdana"/>
        </w:rPr>
        <w:t>al</w:t>
      </w:r>
      <w:r w:rsidR="00F05686">
        <w:rPr>
          <w:rFonts w:ascii="Verdana" w:hAnsi="Verdana"/>
        </w:rPr>
        <w:t xml:space="preserve"> component analysis </w:t>
      </w:r>
      <w:r w:rsidR="00EB22AC">
        <w:rPr>
          <w:rFonts w:ascii="Verdana" w:hAnsi="Verdana"/>
        </w:rPr>
        <w:fldChar w:fldCharType="begin"/>
      </w:r>
      <w:r w:rsidR="00285EAC">
        <w:rPr>
          <w:rFonts w:ascii="Verdana" w:hAnsi="Verdana"/>
        </w:rPr>
        <w:instrText xml:space="preserve"> ADDIN ZOTERO_ITEM CSL_CITATION {"citationID":"KdDl6rgf","properties":{"formattedCitation":"[29]","plainCitation":"[29]","noteIndex":0},"citationItems":[{"id":95,"uris":["http://zotero.org/users/13606484/items/FC2RN7LG"],"itemData":{"id":95,"type":"book","collection-title":"Springer series in statistics","edition":"2. ed., [Nachdr.]","event-place":"New York Berlin Heidelberg","ISBN":"978-0-387-95442-4","language":"eng","number-of-pages":"487","publisher":"Springer","publisher-place":"New York Berlin Heidelberg","source":"K10plus ISBN","title":"Principal component analysis","author":[{"family":"Jolliffe","given":"Ian T."}],"issued":{"date-parts":[["2004"]]}}}],"schema":"https://github.com/citation-style-language/schema/raw/master/csl-citation.json"} </w:instrText>
      </w:r>
      <w:r w:rsidR="00EB22AC">
        <w:rPr>
          <w:rFonts w:ascii="Verdana" w:hAnsi="Verdana"/>
        </w:rPr>
        <w:fldChar w:fldCharType="separate"/>
      </w:r>
      <w:r w:rsidR="00285EAC" w:rsidRPr="00285EAC">
        <w:rPr>
          <w:rFonts w:ascii="Verdana" w:hAnsi="Verdana"/>
        </w:rPr>
        <w:t>[29]</w:t>
      </w:r>
      <w:r w:rsidR="00EB22AC">
        <w:rPr>
          <w:rFonts w:ascii="Verdana" w:hAnsi="Verdana"/>
        </w:rPr>
        <w:fldChar w:fldCharType="end"/>
      </w:r>
      <w:r w:rsidR="006A33C6">
        <w:rPr>
          <w:rFonts w:ascii="Verdana" w:hAnsi="Verdana"/>
        </w:rPr>
        <w:t xml:space="preserve"> </w:t>
      </w:r>
      <w:r w:rsidR="00F05686">
        <w:rPr>
          <w:rFonts w:ascii="Verdana" w:hAnsi="Verdana"/>
        </w:rPr>
        <w:t xml:space="preserve">was used to obtain the unit vectors that define the long axis. </w:t>
      </w:r>
      <w:r>
        <w:rPr>
          <w:rFonts w:ascii="Verdana" w:hAnsi="Verdana"/>
        </w:rPr>
        <w:t xml:space="preserve">This gave a measure of the tibiofemoral angle. </w:t>
      </w:r>
    </w:p>
    <w:p w14:paraId="756459B9" w14:textId="1FF8A749" w:rsidR="00005D93" w:rsidRDefault="005A29E2" w:rsidP="000423D6">
      <w:pPr>
        <w:spacing w:line="360" w:lineRule="auto"/>
        <w:jc w:val="both"/>
        <w:rPr>
          <w:rFonts w:ascii="Verdana" w:hAnsi="Verdana"/>
        </w:rPr>
      </w:pPr>
      <w:r w:rsidRPr="005A29E2">
        <w:rPr>
          <w:rFonts w:ascii="Verdana" w:hAnsi="Verdana"/>
        </w:rPr>
        <w:t>To analyze translations, the centroid position was calculated for both the tibial and femoral segmentations in each frame. The anterior-posterior translation was then defined as the relative displacement between the femoral and tibial centroids in the anterior-posterior direction, while the superior-inferior translation was defined as their relative displacement in the superior-inferior direction</w:t>
      </w:r>
    </w:p>
    <w:p w14:paraId="7C1C95CF" w14:textId="1951E253" w:rsidR="000423D6" w:rsidRDefault="000423D6" w:rsidP="000423D6">
      <w:pPr>
        <w:spacing w:line="360" w:lineRule="auto"/>
        <w:jc w:val="both"/>
        <w:rPr>
          <w:rFonts w:ascii="Verdana" w:hAnsi="Verdana"/>
        </w:rPr>
      </w:pPr>
      <w:r>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Pr>
          <w:rFonts w:ascii="Verdana" w:hAnsi="Verdana"/>
        </w:rPr>
        <w:t xml:space="preserve">range of motion, the flexion angle was </w:t>
      </w:r>
      <w:r w:rsidR="00D312C2">
        <w:rPr>
          <w:rFonts w:ascii="Verdana" w:hAnsi="Verdana"/>
        </w:rPr>
        <w:t xml:space="preserve">normalized to </w:t>
      </w:r>
      <w:r>
        <w:rPr>
          <w:rFonts w:ascii="Verdana" w:hAnsi="Verdana"/>
        </w:rPr>
        <w:t xml:space="preserve">the ‘flexion percentage’, where </w:t>
      </w:r>
      <w:r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Pr="00124E1B">
        <w:rPr>
          <w:rFonts w:ascii="Verdana" w:hAnsi="Verdana"/>
        </w:rPr>
        <w:t>extension, and +100% marks the return to maxim</w:t>
      </w:r>
      <w:r w:rsidR="005C38D2">
        <w:rPr>
          <w:rFonts w:ascii="Verdana" w:hAnsi="Verdana"/>
        </w:rPr>
        <w:t>um</w:t>
      </w:r>
      <w:r w:rsidRPr="00124E1B">
        <w:rPr>
          <w:rFonts w:ascii="Verdana" w:hAnsi="Verdana"/>
        </w:rPr>
        <w:t xml:space="preserve"> flexion.</w:t>
      </w:r>
      <w:r>
        <w:rPr>
          <w:rFonts w:ascii="Verdana" w:hAnsi="Verdana"/>
        </w:rPr>
        <w:t xml:space="preserve"> </w:t>
      </w:r>
    </w:p>
    <w:p w14:paraId="5E06679C" w14:textId="77777777" w:rsidR="009E0853" w:rsidRDefault="009E0853" w:rsidP="000423D6">
      <w:pPr>
        <w:spacing w:line="360" w:lineRule="auto"/>
        <w:jc w:val="both"/>
        <w:rPr>
          <w:rFonts w:ascii="Verdana" w:hAnsi="Verdana"/>
        </w:rPr>
      </w:pP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lastRenderedPageBreak/>
        <w:t>3. Results and Discussion</w:t>
      </w:r>
    </w:p>
    <w:p w14:paraId="6518545E" w14:textId="77777777" w:rsidR="00EB5D3C" w:rsidRPr="00EB5D3C" w:rsidRDefault="00EB5D3C" w:rsidP="00EB5D3C">
      <w:pPr>
        <w:spacing w:line="360" w:lineRule="auto"/>
        <w:jc w:val="both"/>
        <w:rPr>
          <w:rFonts w:ascii="Verdana" w:hAnsi="Verdana"/>
          <w:lang w:val="en-150"/>
        </w:rPr>
      </w:pPr>
      <w:r w:rsidRPr="00EB5D3C">
        <w:rPr>
          <w:rFonts w:ascii="Verdana" w:hAnsi="Verdana"/>
          <w:lang w:val="en-150"/>
        </w:rPr>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lang w:val="en-150"/>
        </w:rPr>
        <w:t>Figure 4</w:t>
      </w:r>
      <w:r w:rsidRPr="00EB5D3C">
        <w:rPr>
          <w:rFonts w:ascii="Verdana" w:hAnsi="Verdana"/>
          <w:lang w:val="en-150"/>
        </w:rPr>
        <w:t xml:space="preserve"> 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7169740F" w14:textId="77777777" w:rsidR="00EB5D3C" w:rsidRPr="00EB5D3C" w:rsidRDefault="00EB5D3C" w:rsidP="00EB5D3C">
      <w:pPr>
        <w:spacing w:line="360" w:lineRule="auto"/>
        <w:jc w:val="both"/>
        <w:rPr>
          <w:rFonts w:ascii="Verdana" w:hAnsi="Verdana"/>
          <w:lang w:val="en-150"/>
        </w:rPr>
      </w:pPr>
      <w:r w:rsidRPr="00EB5D3C">
        <w:rPr>
          <w:rFonts w:ascii="Verdana" w:hAnsi="Verdana"/>
          <w:lang w:val="en-150"/>
        </w:rPr>
        <w:t xml:space="preserve">The kinematic parameters extracted from both manual and semi-automated segmentation methods are shown in </w:t>
      </w:r>
      <w:r w:rsidRPr="00EB5D3C">
        <w:rPr>
          <w:rFonts w:ascii="Verdana" w:hAnsi="Verdana"/>
          <w:b/>
          <w:bCs/>
          <w:lang w:val="en-150"/>
        </w:rPr>
        <w:t>Figure 5</w:t>
      </w:r>
      <w:r w:rsidRPr="00EB5D3C">
        <w:rPr>
          <w:rFonts w:ascii="Verdana" w:hAnsi="Verdana"/>
          <w:lang w:val="en-150"/>
        </w:rPr>
        <w:t xml:space="preserve">. During knee extension, we observed a change in tibiofemoral angle of 24.10° ± 7.15° using the semi-automated method compared to 24.99° ± 8.20° with manual segmentation. The anterior-posterior translation measured -18.78 ± 3.16 mm and -18.95 ± 4.03 mm for semi-automated and manual methods respectively, while superior-inferior translation remained minimal (semi-automated: 0.82 ± 1.33 mm; manual: 0.53 ± 1.76 mm). As shown in </w:t>
      </w:r>
      <w:r w:rsidRPr="00EB5D3C">
        <w:rPr>
          <w:rFonts w:ascii="Verdana" w:hAnsi="Verdana"/>
          <w:b/>
          <w:bCs/>
          <w:lang w:val="en-150"/>
        </w:rPr>
        <w:t>Figure 5</w:t>
      </w:r>
      <w:r w:rsidRPr="00EB5D3C">
        <w:rPr>
          <w:rFonts w:ascii="Verdana" w:hAnsi="Verdana"/>
          <w:lang w:val="en-150"/>
        </w:rPr>
        <w:t>, the semi-automated method demonstrated consistently lower standard deviations across all kinematic parameters compared to manual segmentation, indicating higher precision and measurement reliability.</w:t>
      </w:r>
    </w:p>
    <w:p w14:paraId="75966273" w14:textId="110BB711" w:rsidR="00EB5D3C" w:rsidRPr="00EB5D3C" w:rsidRDefault="00EB5D3C" w:rsidP="00EB5D3C">
      <w:pPr>
        <w:spacing w:line="360" w:lineRule="auto"/>
        <w:jc w:val="both"/>
        <w:rPr>
          <w:rFonts w:ascii="Verdana" w:hAnsi="Verdana"/>
          <w:lang w:val="en-150"/>
        </w:rPr>
      </w:pPr>
      <w:r w:rsidRPr="00EB5D3C">
        <w:rPr>
          <w:rFonts w:ascii="Verdana" w:hAnsi="Verdana"/>
          <w:lang w:val="en-150"/>
        </w:rPr>
        <w:t xml:space="preserve">The kinematic values obtained in this study align well with previous reports using dynamic MRI </w:t>
      </w:r>
      <w:r>
        <w:rPr>
          <w:rFonts w:ascii="Verdana" w:hAnsi="Verdana"/>
          <w:lang w:val="en-150"/>
        </w:rPr>
        <w:fldChar w:fldCharType="begin"/>
      </w:r>
      <w:r>
        <w:rPr>
          <w:rFonts w:ascii="Verdana" w:hAnsi="Verdana"/>
          <w:lang w:val="en-150"/>
        </w:rPr>
        <w:instrText xml:space="preserve"> ADDIN ZOTERO_ITEM CSL_CITATION {"citationID":"N4Prh6UK","properties":{"formattedCitation":"[14,16]","plainCitation":"[14,16]","noteIndex":0},"citationItems":[{"id":41,"uris":["http://zotero.org/users/13606484/items/8RI8DC6D"],"itemData":{"id":41,"type":"article-journal","abstract":"In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T."}],"issued":{"date-parts":[["2007",7]]}}},{"id":89,"uris":["http://zotero.org/users/13606484/items/J7EDB27W"],"itemData":{"id":89,"type":"article-journal","abstract":"Abstract\n            This study investigated the use of dynamic, volumetric MRI to measure 3D skeletal motion. Ten healthy subjects were positioned on a MR</w:instrText>
      </w:r>
      <w:r>
        <w:rPr>
          <w:rFonts w:ascii="Cambria Math" w:hAnsi="Cambria Math" w:cs="Cambria Math"/>
          <w:lang w:val="en-150"/>
        </w:rPr>
        <w:instrText>‐</w:instrText>
      </w:r>
      <w:r>
        <w:rPr>
          <w:rFonts w:ascii="Verdana" w:hAnsi="Verdana"/>
          <w:lang w:val="en-150"/>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Pr>
          <w:rFonts w:ascii="Cambria Math" w:hAnsi="Cambria Math" w:cs="Cambria Math"/>
          <w:lang w:val="en-150"/>
        </w:rPr>
        <w:instrText>‐</w:instrText>
      </w:r>
      <w:r>
        <w:rPr>
          <w:rFonts w:ascii="Verdana" w:hAnsi="Verdana"/>
          <w:lang w:val="en-150"/>
        </w:rPr>
        <w:instrText>echo sequence in conjunction with vastly under</w:instrText>
      </w:r>
      <w:r>
        <w:rPr>
          <w:rFonts w:ascii="Cambria Math" w:hAnsi="Cambria Math" w:cs="Cambria Math"/>
          <w:lang w:val="en-150"/>
        </w:rPr>
        <w:instrText>‐</w:instrText>
      </w:r>
      <w:r>
        <w:rPr>
          <w:rFonts w:ascii="Verdana" w:hAnsi="Verdana"/>
          <w:lang w:val="en-150"/>
        </w:rPr>
        <w:instrText>sampled isotropic projection reconstruction. Knee angle was simultaneously monitored and used retrospectively to sort images into 60 frames over the motion cycle. High</w:instrText>
      </w:r>
      <w:r>
        <w:rPr>
          <w:rFonts w:ascii="Cambria Math" w:hAnsi="Cambria Math" w:cs="Cambria Math"/>
          <w:lang w:val="en-150"/>
        </w:rPr>
        <w:instrText>‐</w:instrText>
      </w:r>
      <w:r>
        <w:rPr>
          <w:rFonts w:ascii="Verdana" w:hAnsi="Verdana"/>
          <w:lang w:val="en-150"/>
        </w:rPr>
        <w:instrText>resolution static knee images were acquired and segmented to create subject</w:instrText>
      </w:r>
      <w:r>
        <w:rPr>
          <w:rFonts w:ascii="Cambria Math" w:hAnsi="Cambria Math" w:cs="Cambria Math"/>
          <w:lang w:val="en-150"/>
        </w:rPr>
        <w:instrText>‐</w:instrText>
      </w:r>
      <w:r>
        <w:rPr>
          <w:rFonts w:ascii="Verdana" w:hAnsi="Verdana"/>
          <w:lang w:val="en-150"/>
        </w:rPr>
        <w:instrText>specific models of the femur and tibia. At each time frame, bone positions and orientations were determined by automatically registering the skeletal models to the dynamic images. Three</w:instrText>
      </w:r>
      <w:r>
        <w:rPr>
          <w:rFonts w:ascii="Cambria Math" w:hAnsi="Cambria Math" w:cs="Cambria Math"/>
          <w:lang w:val="en-150"/>
        </w:rPr>
        <w:instrText>‐</w:instrText>
      </w:r>
      <w:r>
        <w:rPr>
          <w:rFonts w:ascii="Verdana" w:hAnsi="Verdana"/>
          <w:lang w:val="en-150"/>
        </w:rPr>
        <w:instrText xml:space="preserve">dimensional tibiofemoral translations and rotations were consistent across healthy subjects. Internal tibia rotations of 7.8 </w:instrText>
      </w:r>
      <w:r>
        <w:rPr>
          <w:rFonts w:ascii="Verdana" w:hAnsi="Verdana" w:cs="Verdana"/>
          <w:lang w:val="en-150"/>
        </w:rPr>
        <w:instrText>±</w:instrText>
      </w:r>
      <w:r>
        <w:rPr>
          <w:rFonts w:ascii="Verdana" w:hAnsi="Verdana"/>
          <w:lang w:val="en-150"/>
        </w:rPr>
        <w:instrText xml:space="preserve"> 3.5</w:instrText>
      </w:r>
      <w:r>
        <w:rPr>
          <w:rFonts w:ascii="Verdana" w:hAnsi="Verdana" w:cs="Verdana"/>
          <w:lang w:val="en-150"/>
        </w:rPr>
        <w:instrText>°</w:instrText>
      </w:r>
      <w:r>
        <w:rPr>
          <w:rFonts w:ascii="Verdana" w:hAnsi="Verdana"/>
          <w:lang w:val="en-150"/>
        </w:rPr>
        <w:instrText xml:space="preserve"> were present with 35.8 </w:instrText>
      </w:r>
      <w:r>
        <w:rPr>
          <w:rFonts w:ascii="Verdana" w:hAnsi="Verdana" w:cs="Verdana"/>
          <w:lang w:val="en-150"/>
        </w:rPr>
        <w:instrText>±</w:instrText>
      </w:r>
      <w:r>
        <w:rPr>
          <w:rFonts w:ascii="Verdana" w:hAnsi="Verdana"/>
          <w:lang w:val="en-150"/>
        </w:rPr>
        <w:instrText xml:space="preserve"> 3.8</w:instrText>
      </w:r>
      <w:r>
        <w:rPr>
          <w:rFonts w:ascii="Verdana" w:hAnsi="Verdana" w:cs="Verdana"/>
          <w:lang w:val="en-150"/>
        </w:rPr>
        <w:instrText>°</w:instrText>
      </w:r>
      <w:r>
        <w:rPr>
          <w:rFonts w:ascii="Verdana" w:hAnsi="Verdana"/>
          <w:lang w:val="en-150"/>
        </w:rPr>
        <w:instrText xml:space="preserve"> of knee flexion, a pattern consistent with knee kinematic measures during walking. We conclude that vastly under</w:instrText>
      </w:r>
      <w:r>
        <w:rPr>
          <w:rFonts w:ascii="Cambria Math" w:hAnsi="Cambria Math" w:cs="Cambria Math"/>
          <w:lang w:val="en-150"/>
        </w:rPr>
        <w:instrText>‐</w:instrText>
      </w:r>
      <w:r>
        <w:rPr>
          <w:rFonts w:ascii="Verdana" w:hAnsi="Verdana"/>
          <w:lang w:val="en-150"/>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Pr>
          <w:rFonts w:ascii="Verdana" w:hAnsi="Verdana"/>
          <w:lang w:val="en-150"/>
        </w:rPr>
        <w:fldChar w:fldCharType="separate"/>
      </w:r>
      <w:r w:rsidRPr="00EB5D3C">
        <w:rPr>
          <w:rFonts w:ascii="Verdana" w:hAnsi="Verdana"/>
        </w:rPr>
        <w:t>[14,16]</w:t>
      </w:r>
      <w:r>
        <w:rPr>
          <w:rFonts w:ascii="Verdana" w:hAnsi="Verdana"/>
          <w:lang w:val="en-150"/>
        </w:rPr>
        <w:fldChar w:fldCharType="end"/>
      </w:r>
      <w:r w:rsidRPr="00EB5D3C">
        <w:rPr>
          <w:rFonts w:ascii="Verdana" w:hAnsi="Verdana"/>
          <w:lang w:val="en-150"/>
        </w:rPr>
        <w:t xml:space="preserve">. These studies have reported comparable ranges of motion across all degrees of freedom during knee flexion-extension, with tibiofemoral angles, translations, and rotations falling within physiologically expected ranges. The alignment error of 0.40 ± 0.02 mm achieved by our tracking algorithm compares </w:t>
      </w:r>
      <w:r w:rsidRPr="00EB5D3C">
        <w:rPr>
          <w:rFonts w:ascii="Verdana" w:hAnsi="Verdana"/>
          <w:lang w:val="en-150"/>
        </w:rPr>
        <w:t>favourably</w:t>
      </w:r>
      <w:r w:rsidRPr="00EB5D3C">
        <w:rPr>
          <w:rFonts w:ascii="Verdana" w:hAnsi="Verdana"/>
          <w:lang w:val="en-150"/>
        </w:rPr>
        <w:t xml:space="preserve"> to previously reported accuracies of bone tracking methods ranging between 0.33-0.97 mm </w:t>
      </w:r>
      <w:r>
        <w:rPr>
          <w:rFonts w:ascii="Verdana" w:hAnsi="Verdana"/>
          <w:lang w:val="en-150"/>
        </w:rPr>
        <w:fldChar w:fldCharType="begin"/>
      </w:r>
      <w:r>
        <w:rPr>
          <w:rFonts w:ascii="Verdana" w:hAnsi="Verdana"/>
          <w:lang w:val="en-150"/>
        </w:rPr>
        <w:instrText xml:space="preserve"> ADDIN ZOTERO_ITEM CSL_CITATION {"citationID":"4GyKYJgw","properties":{"formattedCitation":"[15]","plainCitation":"[15]","noteIndex":0},"citationItems":[{"id":40,"uris":["http://zotero.org/users/13606484/items/FD6API8V"],"itemData":{"id":40,"type":"article-journal","abstract":"The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Pr>
          <w:rFonts w:ascii="Cambria Math" w:hAnsi="Cambria Math" w:cs="Cambria Math"/>
          <w:lang w:val="en-150"/>
        </w:rPr>
        <w:instrText>∼</w:instrText>
      </w:r>
      <w:r>
        <w:rPr>
          <w:rFonts w:ascii="Verdana" w:hAnsi="Verdana"/>
          <w:lang w:val="en-150"/>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lang w:val="en-150"/>
        </w:rPr>
        <w:fldChar w:fldCharType="separate"/>
      </w:r>
      <w:r w:rsidRPr="00EB5D3C">
        <w:rPr>
          <w:rFonts w:ascii="Verdana" w:hAnsi="Verdana"/>
        </w:rPr>
        <w:t>[15]</w:t>
      </w:r>
      <w:r>
        <w:rPr>
          <w:rFonts w:ascii="Verdana" w:hAnsi="Verdana"/>
          <w:lang w:val="en-150"/>
        </w:rPr>
        <w:fldChar w:fldCharType="end"/>
      </w:r>
      <w:r w:rsidRPr="00EB5D3C">
        <w:rPr>
          <w:rFonts w:ascii="Verdana" w:hAnsi="Verdana"/>
          <w:lang w:val="en-150"/>
        </w:rPr>
        <w:t>.</w:t>
      </w:r>
    </w:p>
    <w:p w14:paraId="65EFDAE4" w14:textId="3B076417" w:rsidR="00EA5EF9" w:rsidRPr="00EB5D3C" w:rsidRDefault="00EA5EF9" w:rsidP="00EB5D3C">
      <w:pPr>
        <w:spacing w:line="360" w:lineRule="auto"/>
        <w:jc w:val="both"/>
        <w:rPr>
          <w:rFonts w:ascii="Verdana" w:hAnsi="Verdana"/>
          <w:lang w:val="en-150"/>
        </w:rPr>
      </w:pPr>
      <w:r w:rsidRPr="00EA5EF9">
        <w:rPr>
          <w:rFonts w:ascii="Verdana" w:hAnsi="Verdana"/>
        </w:rPr>
        <w:t xml:space="preserve">The tracking accuracy of 0.40 ± 0.02 mm achieved by our algorithm demonstrates that reliable bone tracking is possible directly from 2D CINE MRI data of controlled knee motion. The consistently lower standard deviations in the kinematic parameters extracted using </w:t>
      </w:r>
      <w:r>
        <w:rPr>
          <w:rFonts w:ascii="Verdana" w:hAnsi="Verdana"/>
        </w:rPr>
        <w:t>the</w:t>
      </w:r>
      <w:r w:rsidRPr="00EA5EF9">
        <w:rPr>
          <w:rFonts w:ascii="Verdana" w:hAnsi="Verdana"/>
        </w:rPr>
        <w:t xml:space="preserve"> semi-automated method compared to manual segmentation suggest enhanced measurement precision.</w:t>
      </w:r>
      <w:r>
        <w:rPr>
          <w:rFonts w:ascii="Verdana" w:hAnsi="Verdana"/>
        </w:rPr>
        <w:t xml:space="preserve"> </w:t>
      </w:r>
      <w:r w:rsidRPr="00EA5EF9">
        <w:rPr>
          <w:rFonts w:ascii="Verdana" w:hAnsi="Verdana"/>
        </w:rPr>
        <w:t xml:space="preserve">Notably, the kinematic patterns showed strong symmetry between flexion and extension phases, though only extension phase values were reported in detail. This symmetry further </w:t>
      </w:r>
      <w:r w:rsidRPr="00EA5EF9">
        <w:rPr>
          <w:rFonts w:ascii="Verdana" w:hAnsi="Verdana"/>
        </w:rPr>
        <w:lastRenderedPageBreak/>
        <w:t>supports the robustness of the tracking method across the complete motion cycle. This improvement in precision, combined with the substantial reduction in processing time, indicates that automated tracking approaches can both streamline analysis and potentially improve measurement reliability. The successful implementation of this tracking approach for 2D imaging provides a foundation for future development of similar principles for more complex 3D dynamic imaging applications.</w:t>
      </w:r>
    </w:p>
    <w:p w14:paraId="731A1BA5" w14:textId="3EF6A0A1" w:rsidR="00EB5D3C" w:rsidRDefault="00EA5EF9" w:rsidP="000423D6">
      <w:pPr>
        <w:spacing w:line="360" w:lineRule="auto"/>
        <w:jc w:val="both"/>
        <w:rPr>
          <w:rFonts w:ascii="Verdana" w:hAnsi="Verdana"/>
          <w:u w:val="single"/>
          <w:lang w:val="en-150"/>
        </w:rPr>
      </w:pPr>
      <w:r w:rsidRPr="00EA5EF9">
        <w:rPr>
          <w:rFonts w:ascii="Verdana" w:hAnsi="Verdana"/>
          <w:u w:val="single"/>
          <w:lang w:val="en-150"/>
        </w:rPr>
        <w:t xml:space="preserve">4. Conclusion </w:t>
      </w:r>
    </w:p>
    <w:p w14:paraId="5AAC8010" w14:textId="11949DD7" w:rsidR="00EA5EF9" w:rsidRPr="00EA5EF9" w:rsidRDefault="00EA5EF9" w:rsidP="000423D6">
      <w:pPr>
        <w:spacing w:line="360" w:lineRule="auto"/>
        <w:jc w:val="both"/>
        <w:rPr>
          <w:rFonts w:ascii="Verdana" w:hAnsi="Verdana"/>
          <w:lang w:val="en-150"/>
        </w:rPr>
      </w:pPr>
      <w:r w:rsidRPr="00EA5EF9">
        <w:rPr>
          <w:rFonts w:ascii="Verdana" w:hAnsi="Verdana"/>
        </w:rPr>
        <w:t>We have developed and validated a semi-automated method for extracting tibiofemoral kinematics from 2D CINE MRI sequences acquired during controlled knee flexion-extension using a custom MR-compatible loading device. The algorithm successfully tracks bone motion by combining edge detection with connected component labeling, requiring minimal manual input and reducing processing time compared to manual segmentation. When compared to manual segmentation, the method showed lower variability in measuring tibiofemoral angle and translations across subjects. Future work should focus on extending these tracking principles to 3D dynamic imaging sequences to enable analysis of more complex knee motion patterns.</w:t>
      </w:r>
    </w:p>
    <w:p w14:paraId="10798B2E" w14:textId="77777777" w:rsidR="009E0853" w:rsidRDefault="009E0853" w:rsidP="000423D6">
      <w:pPr>
        <w:spacing w:line="360" w:lineRule="auto"/>
        <w:jc w:val="both"/>
        <w:rPr>
          <w:rFonts w:ascii="Verdana" w:hAnsi="Verdana"/>
        </w:rPr>
      </w:pPr>
    </w:p>
    <w:p w14:paraId="3C75BF97" w14:textId="77777777" w:rsidR="009E0853" w:rsidRDefault="009E0853" w:rsidP="000423D6">
      <w:pPr>
        <w:spacing w:line="360" w:lineRule="auto"/>
        <w:jc w:val="both"/>
        <w:rPr>
          <w:rFonts w:ascii="Verdana" w:hAnsi="Verdana"/>
        </w:rPr>
      </w:pPr>
    </w:p>
    <w:p w14:paraId="7108FC3E" w14:textId="77777777" w:rsidR="00EB5D3C" w:rsidRPr="00EB5D3C" w:rsidRDefault="00285EAC" w:rsidP="00EB5D3C">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EB5D3C" w:rsidRPr="00EB5D3C">
        <w:t xml:space="preserve">1. </w:t>
      </w:r>
      <w:r w:rsidR="00EB5D3C" w:rsidRPr="00EB5D3C">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00C1D408" w14:textId="77777777" w:rsidR="00EB5D3C" w:rsidRPr="00EB5D3C" w:rsidRDefault="00EB5D3C" w:rsidP="00EB5D3C">
      <w:pPr>
        <w:pStyle w:val="Bibliography"/>
      </w:pPr>
      <w:r w:rsidRPr="00EB5D3C">
        <w:t xml:space="preserve">2. </w:t>
      </w:r>
      <w:r w:rsidRPr="00EB5D3C">
        <w:tab/>
        <w:t>Kaufman KR, Hughes C, Morrey BF, Morrey M, An KN. Gait characteristics of patients with knee osteoarthritis. Journal of Biomechanics 2001; 34 :907–15. https://doi.org/10.1016/S0021-9290(01)00036-7</w:t>
      </w:r>
    </w:p>
    <w:p w14:paraId="26EFF3FA" w14:textId="77777777" w:rsidR="00EB5D3C" w:rsidRPr="00EB5D3C" w:rsidRDefault="00EB5D3C" w:rsidP="00EB5D3C">
      <w:pPr>
        <w:pStyle w:val="Bibliography"/>
      </w:pPr>
      <w:r w:rsidRPr="00EB5D3C">
        <w:t xml:space="preserve">3. </w:t>
      </w:r>
      <w:r w:rsidRPr="00EB5D3C">
        <w:tab/>
        <w:t>Astephen JL, Deluzio KJ, Caldwell GE, Dunbar MJ. Biomechanical changes at the hip, knee, and ankle joints during gait are associated with knee osteoarthritis severity. Journal Orthopaedic Research 2008; 26 :332–41. https://doi.org/10.1002/jor.20496</w:t>
      </w:r>
    </w:p>
    <w:p w14:paraId="5E6F72B8" w14:textId="77777777" w:rsidR="00EB5D3C" w:rsidRPr="00EB5D3C" w:rsidRDefault="00EB5D3C" w:rsidP="00EB5D3C">
      <w:pPr>
        <w:pStyle w:val="Bibliography"/>
      </w:pPr>
      <w:r w:rsidRPr="00EB5D3C">
        <w:t xml:space="preserve">4. </w:t>
      </w:r>
      <w:r w:rsidRPr="00EB5D3C">
        <w:tab/>
        <w:t>Tashman S, Kopf S, Fu FH. The Kinematic Basis of Anterior Cruciate Ligament Reconstruction. Operative Techniques in Sports Medicine 2008; 16 :116–8. https://doi.org/10.1053/j.otsm.2008.10.005</w:t>
      </w:r>
    </w:p>
    <w:p w14:paraId="7490EB53" w14:textId="77777777" w:rsidR="00EB5D3C" w:rsidRPr="00EB5D3C" w:rsidRDefault="00EB5D3C" w:rsidP="00EB5D3C">
      <w:pPr>
        <w:pStyle w:val="Bibliography"/>
      </w:pPr>
      <w:r w:rsidRPr="00EB5D3C">
        <w:t xml:space="preserve">5. </w:t>
      </w:r>
      <w:r w:rsidRPr="00EB5D3C">
        <w:tab/>
        <w:t xml:space="preserve">Georgoulis AD, Papadonikolakis A, Papageorgiou CD, Mitsou A, Stergiou N. Three-Dimensional Tibiofemoral Kinematics of the Anterior Cruciate Ligament-Deficient and </w:t>
      </w:r>
      <w:r w:rsidRPr="00EB5D3C">
        <w:lastRenderedPageBreak/>
        <w:t>Reconstructed Knee during Walking. Am J Sports Med 2003; 31 :75–9. https://doi.org/10.1177/03635465030310012401</w:t>
      </w:r>
    </w:p>
    <w:p w14:paraId="76A0B5A7" w14:textId="77777777" w:rsidR="00EB5D3C" w:rsidRPr="00EB5D3C" w:rsidRDefault="00EB5D3C" w:rsidP="00EB5D3C">
      <w:pPr>
        <w:pStyle w:val="Bibliography"/>
      </w:pPr>
      <w:r w:rsidRPr="00EB5D3C">
        <w:t xml:space="preserve">6. </w:t>
      </w:r>
      <w:r w:rsidRPr="00EB5D3C">
        <w:tab/>
        <w:t>Barrance PJ, Williams GN, Snyder-Mackler L, Buchanan TS. Altered knee kinematics in ACL-deficient non-copers: a comparison using dynamic MRI. J Orthop Res 2006; 24 :132–40. https://doi.org/10.1002/jor.20016</w:t>
      </w:r>
    </w:p>
    <w:p w14:paraId="0E65B418" w14:textId="77777777" w:rsidR="00EB5D3C" w:rsidRPr="00EB5D3C" w:rsidRDefault="00EB5D3C" w:rsidP="00EB5D3C">
      <w:pPr>
        <w:pStyle w:val="Bibliography"/>
      </w:pPr>
      <w:r w:rsidRPr="00EB5D3C">
        <w:t xml:space="preserve">7. </w:t>
      </w:r>
      <w:r w:rsidRPr="00EB5D3C">
        <w:tab/>
        <w:t>Markolf KL, Burchfield DM, Shapiro MM, Shepard MF, Finerman GAM, Slauterbeck JL. Combined knee loading states that generate high anterior cruciate ligament forces. Journal Orthopaedic Research 1995; 13 :930–5. https://doi.org/10.1002/jor.1100130618</w:t>
      </w:r>
    </w:p>
    <w:p w14:paraId="6EBAA9E6" w14:textId="77777777" w:rsidR="00EB5D3C" w:rsidRPr="00EB5D3C" w:rsidRDefault="00EB5D3C" w:rsidP="00EB5D3C">
      <w:pPr>
        <w:pStyle w:val="Bibliography"/>
      </w:pPr>
      <w:r w:rsidRPr="00EB5D3C">
        <w:t xml:space="preserve">8. </w:t>
      </w:r>
      <w:r w:rsidRPr="00EB5D3C">
        <w:tab/>
        <w:t>Chaudhari AMW, Briant PL, Bevill SL, Koo S, Andriacchi TP. Knee Kinematics, Cartilage Morphology, and Osteoarthritis after ACL Injury. Medicine &amp; Science in Sports &amp; Exercise 2008; 40 :215–22. https://doi.org/10.1249/mss.0b013e31815cbb0e</w:t>
      </w:r>
    </w:p>
    <w:p w14:paraId="0A14CAB4" w14:textId="77777777" w:rsidR="00EB5D3C" w:rsidRPr="00EB5D3C" w:rsidRDefault="00EB5D3C" w:rsidP="00EB5D3C">
      <w:pPr>
        <w:pStyle w:val="Bibliography"/>
      </w:pPr>
      <w:r w:rsidRPr="00EB5D3C">
        <w:t xml:space="preserve">9. </w:t>
      </w:r>
      <w:r w:rsidRPr="00EB5D3C">
        <w:tab/>
        <w:t>Andriacchi TP, Mündermann A. The role of ambulatory mechanics in the initiation and progression of knee osteoarthritis. Curr Opin Rheumatol 2006; 18 :514–8. https://doi.org/10.1097/01.bor.0000240365.16842.4e</w:t>
      </w:r>
    </w:p>
    <w:p w14:paraId="5AB10F77" w14:textId="77777777" w:rsidR="00EB5D3C" w:rsidRPr="00EB5D3C" w:rsidRDefault="00EB5D3C" w:rsidP="00EB5D3C">
      <w:pPr>
        <w:pStyle w:val="Bibliography"/>
      </w:pPr>
      <w:r w:rsidRPr="00EB5D3C">
        <w:t xml:space="preserve">10. </w:t>
      </w:r>
      <w:r w:rsidRPr="00EB5D3C">
        <w:tab/>
        <w:t>Conconi M, De Carli F, Berni M, Sancisi N, Parenti-Castelli V, Monetti G. In-Vivo Quantification of Knee Deep-Flexion in Physiological Loading Condition trough Dynamic MRI. Applied Sciences 2023; 13 :629. https://doi.org/10.3390/app13010629</w:t>
      </w:r>
    </w:p>
    <w:p w14:paraId="55AB2B49" w14:textId="77777777" w:rsidR="00EB5D3C" w:rsidRPr="00EB5D3C" w:rsidRDefault="00EB5D3C" w:rsidP="00EB5D3C">
      <w:pPr>
        <w:pStyle w:val="Bibliography"/>
      </w:pPr>
      <w:r w:rsidRPr="00EB5D3C">
        <w:t xml:space="preserve">11. </w:t>
      </w:r>
      <w:r w:rsidRPr="00EB5D3C">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22A86E4E" w14:textId="77777777" w:rsidR="00EB5D3C" w:rsidRPr="00EB5D3C" w:rsidRDefault="00EB5D3C" w:rsidP="00EB5D3C">
      <w:pPr>
        <w:pStyle w:val="Bibliography"/>
        <w:rPr>
          <w:lang w:val="de-DE"/>
        </w:rPr>
      </w:pPr>
      <w:r w:rsidRPr="00EB5D3C">
        <w:t xml:space="preserve">12. </w:t>
      </w:r>
      <w:r w:rsidRPr="00EB5D3C">
        <w:tab/>
        <w:t xml:space="preserve">Kaiser JM, Vignos MF, Kijowski R, Baer G, Thelen DG. Effect of Loading on In Vivo Tibiofemoral and Patellofemoral Kinematics of Healthy and ACL-Reconstructed Knees. </w:t>
      </w:r>
      <w:r w:rsidRPr="00EB5D3C">
        <w:rPr>
          <w:lang w:val="de-DE"/>
        </w:rPr>
        <w:t>Am J Sports Med 2017; 45 :3272–9. https://doi.org/10.1177/0363546517724417</w:t>
      </w:r>
    </w:p>
    <w:p w14:paraId="329C778F" w14:textId="77777777" w:rsidR="00EB5D3C" w:rsidRPr="00EB5D3C" w:rsidRDefault="00EB5D3C" w:rsidP="00EB5D3C">
      <w:pPr>
        <w:pStyle w:val="Bibliography"/>
      </w:pPr>
      <w:r w:rsidRPr="00EB5D3C">
        <w:rPr>
          <w:lang w:val="de-DE"/>
        </w:rPr>
        <w:t xml:space="preserve">13. </w:t>
      </w:r>
      <w:r w:rsidRPr="00EB5D3C">
        <w:rPr>
          <w:lang w:val="de-DE"/>
        </w:rPr>
        <w:tab/>
        <w:t xml:space="preserve">Brossmann J, Muhle C, Schröder C, Melchert UH, Büll CC, Spielmann RP, et al. </w:t>
      </w:r>
      <w:r w:rsidRPr="00EB5D3C">
        <w:t>Patellar tracking patterns during active and passive knee extension: evaluation with motion-triggered cine MR imaging. Radiology 1993; 187 :205–12. https://doi.org/10.1148/radiology.187.1.8451415</w:t>
      </w:r>
    </w:p>
    <w:p w14:paraId="37A37EE5" w14:textId="77777777" w:rsidR="00EB5D3C" w:rsidRPr="00EB5D3C" w:rsidRDefault="00EB5D3C" w:rsidP="00EB5D3C">
      <w:pPr>
        <w:pStyle w:val="Bibliography"/>
      </w:pPr>
      <w:r w:rsidRPr="00EB5D3C">
        <w:t xml:space="preserve">14. </w:t>
      </w:r>
      <w:r w:rsidRPr="00EB5D3C">
        <w:tab/>
        <w:t>Seisler AR, Sheehan FT. Normative three-dimensional patellofemoral and tibiofemoral kinematics: a dynamic, in vivo study. IEEE Trans Biomed Eng 2007; 54 :1333–41. https://doi.org/10.1109/TBME.2007.890735</w:t>
      </w:r>
    </w:p>
    <w:p w14:paraId="1647D7C8" w14:textId="77777777" w:rsidR="00EB5D3C" w:rsidRPr="00EB5D3C" w:rsidRDefault="00EB5D3C" w:rsidP="00EB5D3C">
      <w:pPr>
        <w:pStyle w:val="Bibliography"/>
        <w:rPr>
          <w:lang w:val="de-DE"/>
        </w:rPr>
      </w:pPr>
      <w:r w:rsidRPr="00EB5D3C">
        <w:t xml:space="preserve">15. </w:t>
      </w:r>
      <w:r w:rsidRPr="00EB5D3C">
        <w:tab/>
        <w:t xml:space="preserve">Behnam AJ, Herzka DA, Sheehan FT. Assessing the accuracy and precision of musculoskeletal motion tracking using cine-PC MRI on a 3.0T platform. </w:t>
      </w:r>
      <w:r w:rsidRPr="00EB5D3C">
        <w:rPr>
          <w:lang w:val="de-DE"/>
        </w:rPr>
        <w:t>J Biomech 2011; 44 :193–7. https://doi.org/10.1016/j.jbiomech.2010.08.029</w:t>
      </w:r>
    </w:p>
    <w:p w14:paraId="5D2DDD29" w14:textId="77777777" w:rsidR="00EB5D3C" w:rsidRPr="00EB5D3C" w:rsidRDefault="00EB5D3C" w:rsidP="00EB5D3C">
      <w:pPr>
        <w:pStyle w:val="Bibliography"/>
      </w:pPr>
      <w:r w:rsidRPr="00EB5D3C">
        <w:rPr>
          <w:lang w:val="de-DE"/>
        </w:rPr>
        <w:t xml:space="preserve">16. </w:t>
      </w:r>
      <w:r w:rsidRPr="00EB5D3C">
        <w:rPr>
          <w:lang w:val="de-DE"/>
        </w:rPr>
        <w:tab/>
        <w:t xml:space="preserve">Kaiser J, Bradford R, Johnson K, Wieben O, Thelen DG. </w:t>
      </w:r>
      <w:r w:rsidRPr="00EB5D3C">
        <w:t>Measurement of tibiofemoral kinematics using highly accelerated 3D radial sampling. Magnetic Resonance in Med 2013; 69 :1310–6. https://doi.org/10.1002/mrm.24362</w:t>
      </w:r>
    </w:p>
    <w:p w14:paraId="438A4F00" w14:textId="77777777" w:rsidR="00EB5D3C" w:rsidRPr="00EB5D3C" w:rsidRDefault="00EB5D3C" w:rsidP="00EB5D3C">
      <w:pPr>
        <w:pStyle w:val="Bibliography"/>
      </w:pPr>
      <w:r w:rsidRPr="00EB5D3C">
        <w:t xml:space="preserve">17. </w:t>
      </w:r>
      <w:r w:rsidRPr="00EB5D3C">
        <w:tab/>
        <w:t>Westphal CJ, Schmitz A, Reeder SB, Thelen DG. Load-dependent variations in knee kinematics measured with dynamic MRI. Journal of Biomechanics 2013; 46 :2045–52. https://doi.org/10.1016/j.jbiomech.2013.05.027</w:t>
      </w:r>
    </w:p>
    <w:p w14:paraId="2C059C6D" w14:textId="77777777" w:rsidR="00EB5D3C" w:rsidRPr="00EB5D3C" w:rsidRDefault="00EB5D3C" w:rsidP="00EB5D3C">
      <w:pPr>
        <w:pStyle w:val="Bibliography"/>
      </w:pPr>
      <w:r w:rsidRPr="00EB5D3C">
        <w:lastRenderedPageBreak/>
        <w:t xml:space="preserve">18. </w:t>
      </w:r>
      <w:r w:rsidRPr="00EB5D3C">
        <w:tab/>
        <w:t>Brisson NM, Krämer M, Krahl LAN, Schill A, Duda GN, Reichenbach JR. A novel multipurpose device for guided knee motion and loading during dynamic magnetic resonance imaging. Zeitschrift für Medizinische Physik 2022; 32 :500–13. https://doi.org/10.1016/j.zemedi.2021.12.002</w:t>
      </w:r>
    </w:p>
    <w:p w14:paraId="6E4ECAE0" w14:textId="77777777" w:rsidR="00EB5D3C" w:rsidRPr="00EB5D3C" w:rsidRDefault="00EB5D3C" w:rsidP="00EB5D3C">
      <w:pPr>
        <w:pStyle w:val="Bibliography"/>
        <w:rPr>
          <w:lang w:val="de-DE"/>
        </w:rPr>
      </w:pPr>
      <w:r w:rsidRPr="00EB5D3C">
        <w:t xml:space="preserve">19. </w:t>
      </w:r>
      <w:r w:rsidRPr="00EB5D3C">
        <w:tab/>
        <w:t xml:space="preserve">Winkelmann S, Schaeffter T, Koehler T, Eggers H, Doessel O. An Optimal Radial Profile Order Based on the Golden Ratio for Time-Resolved MRI. </w:t>
      </w:r>
      <w:r w:rsidRPr="00EB5D3C">
        <w:rPr>
          <w:lang w:val="de-DE"/>
        </w:rPr>
        <w:t>IEEE Trans Med Imaging 2007; 26 :68–76. https://doi.org/10.1109/TMI.2006.885337</w:t>
      </w:r>
    </w:p>
    <w:p w14:paraId="5FC9E5F0" w14:textId="77777777" w:rsidR="00EB5D3C" w:rsidRPr="00EB5D3C" w:rsidRDefault="00EB5D3C" w:rsidP="00EB5D3C">
      <w:pPr>
        <w:pStyle w:val="Bibliography"/>
      </w:pPr>
      <w:r w:rsidRPr="00EB5D3C">
        <w:rPr>
          <w:lang w:val="de-DE"/>
        </w:rPr>
        <w:t xml:space="preserve">20. </w:t>
      </w:r>
      <w:r w:rsidRPr="00EB5D3C">
        <w:rPr>
          <w:lang w:val="de-DE"/>
        </w:rPr>
        <w:tab/>
        <w:t xml:space="preserve">Krämer M, Herrmann K, Biermann J, Reichenbach JR. </w:t>
      </w:r>
      <w:r w:rsidRPr="00EB5D3C">
        <w:t>Retrospective reconstruction of cardiac cine images from golden</w:t>
      </w:r>
      <w:r w:rsidRPr="00EB5D3C">
        <w:rPr>
          <w:rFonts w:ascii="Cambria Math" w:hAnsi="Cambria Math" w:cs="Cambria Math"/>
        </w:rPr>
        <w:t>‐</w:t>
      </w:r>
      <w:r w:rsidRPr="00EB5D3C">
        <w:t>ratio radial MRI using one</w:t>
      </w:r>
      <w:r w:rsidRPr="00EB5D3C">
        <w:rPr>
          <w:rFonts w:ascii="Cambria Math" w:hAnsi="Cambria Math" w:cs="Cambria Math"/>
        </w:rPr>
        <w:t>‐</w:t>
      </w:r>
      <w:r w:rsidRPr="00EB5D3C">
        <w:t>dimensional navigators. Magnetic Resonance Imaging 2014; 40 :413</w:t>
      </w:r>
      <w:r w:rsidRPr="00EB5D3C">
        <w:rPr>
          <w:rFonts w:ascii="Aptos" w:hAnsi="Aptos" w:cs="Aptos"/>
        </w:rPr>
        <w:t>–</w:t>
      </w:r>
      <w:r w:rsidRPr="00EB5D3C">
        <w:t>22. https://doi.org/10.1002/jmri.24364</w:t>
      </w:r>
    </w:p>
    <w:p w14:paraId="5F871E0C" w14:textId="77777777" w:rsidR="00EB5D3C" w:rsidRPr="00EB5D3C" w:rsidRDefault="00EB5D3C" w:rsidP="00EB5D3C">
      <w:pPr>
        <w:pStyle w:val="Bibliography"/>
      </w:pPr>
      <w:r w:rsidRPr="00EB5D3C">
        <w:t xml:space="preserve">21. </w:t>
      </w:r>
      <w:r w:rsidRPr="00EB5D3C">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5D98A7D8" w14:textId="77777777" w:rsidR="00EB5D3C" w:rsidRPr="00EB5D3C" w:rsidRDefault="00EB5D3C" w:rsidP="00EB5D3C">
      <w:pPr>
        <w:pStyle w:val="Bibliography"/>
      </w:pPr>
      <w:r w:rsidRPr="00EB5D3C">
        <w:t xml:space="preserve">22. </w:t>
      </w:r>
      <w:r w:rsidRPr="00EB5D3C">
        <w:tab/>
        <w:t>Wood T, Ljungberg E, Wiesinger F. Radial Interstices Enable Speedy Low-volume Imaging. JOSS 2021; 6 :3500. https://doi.org/10.21105/joss.03500</w:t>
      </w:r>
    </w:p>
    <w:p w14:paraId="446C027A" w14:textId="77777777" w:rsidR="00EB5D3C" w:rsidRPr="00EB5D3C" w:rsidRDefault="00EB5D3C" w:rsidP="00EB5D3C">
      <w:pPr>
        <w:pStyle w:val="Bibliography"/>
      </w:pPr>
      <w:r w:rsidRPr="00EB5D3C">
        <w:t xml:space="preserve">23. </w:t>
      </w:r>
      <w:r w:rsidRPr="00EB5D3C">
        <w:tab/>
        <w:t>Canny J. A Computational Approach to Edge Detection. IEEE Trans Pattern Anal Mach Intell 1986; PAMI-8 :679–98. https://doi.org/10.1109/TPAMI.1986.4767851</w:t>
      </w:r>
    </w:p>
    <w:p w14:paraId="7EA7E991" w14:textId="77777777" w:rsidR="00EB5D3C" w:rsidRPr="00EB5D3C" w:rsidRDefault="00EB5D3C" w:rsidP="00EB5D3C">
      <w:pPr>
        <w:pStyle w:val="Bibliography"/>
        <w:rPr>
          <w:lang w:val="de-DE"/>
        </w:rPr>
      </w:pPr>
      <w:r w:rsidRPr="00EB5D3C">
        <w:t xml:space="preserve">24. </w:t>
      </w:r>
      <w:r w:rsidRPr="00EB5D3C">
        <w:tab/>
        <w:t xml:space="preserve">Dillencourt MB, Samet H, Tamminen M. A general approach to connected-component labeling for arbitrary image representations. </w:t>
      </w:r>
      <w:r w:rsidRPr="00EB5D3C">
        <w:rPr>
          <w:lang w:val="de-DE"/>
        </w:rPr>
        <w:t>J ACM 1992; 39 :253–80. https://doi.org/10.1145/128749.128750</w:t>
      </w:r>
    </w:p>
    <w:p w14:paraId="0AB86B6C" w14:textId="77777777" w:rsidR="00EB5D3C" w:rsidRPr="00EB5D3C" w:rsidRDefault="00EB5D3C" w:rsidP="00EB5D3C">
      <w:pPr>
        <w:pStyle w:val="Bibliography"/>
      </w:pPr>
      <w:r w:rsidRPr="00EB5D3C">
        <w:rPr>
          <w:lang w:val="de-DE"/>
        </w:rPr>
        <w:t xml:space="preserve">25. </w:t>
      </w:r>
      <w:r w:rsidRPr="00EB5D3C">
        <w:rPr>
          <w:lang w:val="de-DE"/>
        </w:rPr>
        <w:tab/>
        <w:t xml:space="preserve">Hinneburg A, Aggarwal CC, Keim DA. </w:t>
      </w:r>
      <w:r w:rsidRPr="00EB5D3C">
        <w:t>What is the nearest neighbor in high dimensional spaces? Proc of the 26th Internat Conference on Very Large Databases, Cairo, Egypt, 2000 2000; :506–15</w:t>
      </w:r>
    </w:p>
    <w:p w14:paraId="5FFDB891" w14:textId="77777777" w:rsidR="00EB5D3C" w:rsidRPr="00EB5D3C" w:rsidRDefault="00EB5D3C" w:rsidP="00EB5D3C">
      <w:pPr>
        <w:pStyle w:val="Bibliography"/>
      </w:pPr>
      <w:r w:rsidRPr="00EB5D3C">
        <w:t xml:space="preserve">26. </w:t>
      </w:r>
      <w:r w:rsidRPr="00EB5D3C">
        <w:tab/>
        <w:t>De Boor C. A Practical Guide to Splines. 1978; 27. https://doi.org/10.1007/978-1-4612-6333-3</w:t>
      </w:r>
    </w:p>
    <w:p w14:paraId="239E8492" w14:textId="77777777" w:rsidR="00EB5D3C" w:rsidRPr="00EB5D3C" w:rsidRDefault="00EB5D3C" w:rsidP="00EB5D3C">
      <w:pPr>
        <w:pStyle w:val="Bibliography"/>
      </w:pPr>
      <w:r w:rsidRPr="00EB5D3C">
        <w:t xml:space="preserve">27. </w:t>
      </w:r>
      <w:r w:rsidRPr="00EB5D3C">
        <w:tab/>
        <w:t>Nelder JA, Mead R. A Simplex Method for Function Minimization. The Computer Journal 1965; 7 :308–13. https://doi.org/10.1093/comjnl/7.4.308</w:t>
      </w:r>
    </w:p>
    <w:p w14:paraId="13508C1D" w14:textId="77777777" w:rsidR="00EB5D3C" w:rsidRPr="00EB5D3C" w:rsidRDefault="00EB5D3C" w:rsidP="00EB5D3C">
      <w:pPr>
        <w:pStyle w:val="Bibliography"/>
      </w:pPr>
      <w:r w:rsidRPr="00EB5D3C">
        <w:t xml:space="preserve">28. </w:t>
      </w:r>
      <w:r w:rsidRPr="00EB5D3C">
        <w:tab/>
        <w:t>Sofroniew N, Lambert T, Evans K, Nunez-Iglesias J, Bokota G, Winston P, et al. napari: a multi-dimensional image viewer for Python. 2022; https://doi.org/10.5281/ZENODO.6598542</w:t>
      </w:r>
    </w:p>
    <w:p w14:paraId="141BFB6C" w14:textId="77777777" w:rsidR="00EB5D3C" w:rsidRPr="00EB5D3C" w:rsidRDefault="00EB5D3C" w:rsidP="00EB5D3C">
      <w:pPr>
        <w:pStyle w:val="Bibliography"/>
      </w:pPr>
      <w:r w:rsidRPr="00EB5D3C">
        <w:t xml:space="preserve">29. </w:t>
      </w:r>
      <w:r w:rsidRPr="00EB5D3C">
        <w:tab/>
        <w:t>Jolliffe IT. Principal component analysis. 2. ed., [Nachdr.]. 2004;</w:t>
      </w:r>
    </w:p>
    <w:p w14:paraId="66AD6C8B" w14:textId="3CA9402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4"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8"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Ex w15:paraId="77DEF6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Id w16cid:paraId="77DEF632" w16cid:durableId="2AA7EF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B379E" w14:textId="77777777" w:rsidR="00B2680E" w:rsidRDefault="00B2680E" w:rsidP="00FC327B">
      <w:pPr>
        <w:spacing w:after="0" w:line="240" w:lineRule="auto"/>
      </w:pPr>
      <w:r>
        <w:separator/>
      </w:r>
    </w:p>
  </w:endnote>
  <w:endnote w:type="continuationSeparator" w:id="0">
    <w:p w14:paraId="4CA65D78" w14:textId="77777777" w:rsidR="00B2680E" w:rsidRDefault="00B2680E"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B8E56" w14:textId="77777777" w:rsidR="00B2680E" w:rsidRDefault="00B2680E" w:rsidP="00FC327B">
      <w:pPr>
        <w:spacing w:after="0" w:line="240" w:lineRule="auto"/>
      </w:pPr>
      <w:r>
        <w:separator/>
      </w:r>
    </w:p>
  </w:footnote>
  <w:footnote w:type="continuationSeparator" w:id="0">
    <w:p w14:paraId="2848F9FA" w14:textId="77777777" w:rsidR="00B2680E" w:rsidRDefault="00B2680E"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05D93"/>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56A0"/>
    <w:rsid w:val="00120270"/>
    <w:rsid w:val="00121BD7"/>
    <w:rsid w:val="00124E1B"/>
    <w:rsid w:val="001257EE"/>
    <w:rsid w:val="0012591A"/>
    <w:rsid w:val="001259D7"/>
    <w:rsid w:val="00133B72"/>
    <w:rsid w:val="00143F97"/>
    <w:rsid w:val="00160333"/>
    <w:rsid w:val="00160D58"/>
    <w:rsid w:val="001623AC"/>
    <w:rsid w:val="001631E6"/>
    <w:rsid w:val="00165BD7"/>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80F52"/>
    <w:rsid w:val="00284E38"/>
    <w:rsid w:val="00285A5A"/>
    <w:rsid w:val="00285EAC"/>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3058"/>
    <w:rsid w:val="00396333"/>
    <w:rsid w:val="00396DDE"/>
    <w:rsid w:val="003A1F2F"/>
    <w:rsid w:val="003A48A4"/>
    <w:rsid w:val="003B010F"/>
    <w:rsid w:val="003B3851"/>
    <w:rsid w:val="003B5C59"/>
    <w:rsid w:val="003C0AC9"/>
    <w:rsid w:val="003D1567"/>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766A3"/>
    <w:rsid w:val="0048027E"/>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A29E2"/>
    <w:rsid w:val="005B3832"/>
    <w:rsid w:val="005C1B41"/>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1259"/>
    <w:rsid w:val="007214F6"/>
    <w:rsid w:val="00724400"/>
    <w:rsid w:val="00727147"/>
    <w:rsid w:val="00735AD2"/>
    <w:rsid w:val="00736AA6"/>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A0F27"/>
    <w:rsid w:val="008B7268"/>
    <w:rsid w:val="008B7A6A"/>
    <w:rsid w:val="008C2055"/>
    <w:rsid w:val="008C630C"/>
    <w:rsid w:val="008D0E4A"/>
    <w:rsid w:val="008D18D7"/>
    <w:rsid w:val="008D7AA2"/>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0853"/>
    <w:rsid w:val="009E72D3"/>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312C2"/>
    <w:rsid w:val="00D32AE1"/>
    <w:rsid w:val="00D33765"/>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10</Pages>
  <Words>16779</Words>
  <Characters>95646</Characters>
  <Application>Microsoft Office Word</Application>
  <DocSecurity>0</DocSecurity>
  <Lines>797</Lines>
  <Paragraphs>224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77</cp:revision>
  <dcterms:created xsi:type="dcterms:W3CDTF">2024-09-26T09:55:00Z</dcterms:created>
  <dcterms:modified xsi:type="dcterms:W3CDTF">2024-11-12T12:46:00Z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id="OPNSGwT3"/&gt;&lt;style id="http://www.zotero.org/styles/zmp-journal" locale="en-US" hasBibliography="1" bibliographyStyleHasBeenSet="1"/&gt;&lt;prefs&gt;&lt;pref name="fieldType" value="Field"/&gt;&lt;/prefs&gt;&lt;/data&gt;</vt:lpwstr>
  </property>
</Properties>
</file>