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3FD8471E"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285EAC">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85EAC">
        <w:rPr>
          <w:rFonts w:ascii="Cambria Math" w:hAnsi="Cambria Math" w:cs="Cambria Math"/>
        </w:rPr>
        <w:instrText>‐</w:instrText>
      </w:r>
      <w:r w:rsidR="00285EA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85EAC">
        <w:rPr>
          <w:rFonts w:ascii="Cambria Math" w:hAnsi="Cambria Math" w:cs="Cambria Math"/>
        </w:rPr>
        <w:instrText>‐</w:instrText>
      </w:r>
      <w:r w:rsidR="00285EA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CDC4ABA"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285EAC">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285EAC">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285EAC">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243733D8"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under realistic conditions.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285EAC">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85EAC">
        <w:rPr>
          <w:rFonts w:ascii="Cambria Math" w:hAnsi="Cambria Math" w:cs="Cambria Math"/>
        </w:rPr>
        <w:instrText>∼</w:instrText>
      </w:r>
      <w:r w:rsidR="00285EA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285EAC">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45DDDD36"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285EAC">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285EAC">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285EAC">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08A66BCB" w14:textId="77777777" w:rsidR="00117673" w:rsidRDefault="00117673" w:rsidP="00727147">
      <w:pPr>
        <w:spacing w:line="360" w:lineRule="auto"/>
        <w:rPr>
          <w:rFonts w:ascii="Verdana" w:hAnsi="Verdana"/>
        </w:rPr>
      </w:pPr>
      <w:r w:rsidRPr="00117673">
        <w:rPr>
          <w:rFonts w:ascii="Verdana" w:hAnsi="Verdana"/>
        </w:rPr>
        <w:t>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Unlike previous approaches, our technique operates directly on the dynamic frames without requiring additional static scans, potentially streamlining the overall analysis process. The primary objective was to develop this bone tracking method with minimal manual input requirement. To validate our approach, we performed manual segmentation across all frames and compared the results. We then analyzed relative bone positions using centroid-based distance measurements throughout the motion cycle, demonstrating that our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AFDDDB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285EAC">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85EAC">
        <w:rPr>
          <w:rFonts w:ascii="Cambria Math" w:hAnsi="Cambria Math" w:cs="Cambria Math"/>
        </w:rPr>
        <w:instrText>∼</w:instrText>
      </w:r>
      <w:r w:rsidR="00285EAC">
        <w:rPr>
          <w:rFonts w:ascii="Verdana" w:hAnsi="Verdana"/>
        </w:rPr>
        <w:instrText>40</w:instrText>
      </w:r>
      <w:r w:rsidR="00285EAC">
        <w:rPr>
          <w:rFonts w:ascii="Verdana" w:hAnsi="Verdana" w:cs="Verdana"/>
        </w:rPr>
        <w:instrText>◦</w:instrText>
      </w:r>
      <w:r w:rsidR="00285EAC">
        <w:rPr>
          <w:rFonts w:ascii="Verdana" w:hAnsi="Verdana"/>
        </w:rPr>
        <w:instrText xml:space="preserve"> of knee </w:instrText>
      </w:r>
      <w:r w:rsidR="00285EAC">
        <w:rPr>
          <w:rFonts w:ascii="Verdana" w:hAnsi="Verdana" w:cs="Verdana"/>
        </w:rPr>
        <w:instrText>ﬂ</w:instrText>
      </w:r>
      <w:r w:rsidR="00285EA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aspect of the knee </w:t>
      </w:r>
      <w:r w:rsidR="003A48A4" w:rsidRPr="003A48A4">
        <w:rPr>
          <w:rFonts w:ascii="Verdana" w:hAnsi="Verdana"/>
        </w:rPr>
        <w:lastRenderedPageBreak/>
        <w:t>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75CE0B36"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85EAC">
        <w:rPr>
          <w:rFonts w:ascii="Cambria Math" w:eastAsia="Verdana" w:hAnsi="Cambria Math" w:cs="Cambria Math"/>
        </w:rPr>
        <w:instrText>‐</w:instrText>
      </w:r>
      <w:r w:rsidR="00285EAC">
        <w:rPr>
          <w:rFonts w:ascii="Verdana" w:eastAsia="Verdana" w:hAnsi="Verdana" w:cs="Verdana"/>
        </w:rPr>
        <w:instrText>ratio–based cardiac cine imaging by using interspersed one</w:instrText>
      </w:r>
      <w:r w:rsidR="00285EAC">
        <w:rPr>
          <w:rFonts w:ascii="Cambria Math" w:eastAsia="Verdana" w:hAnsi="Cambria Math" w:cs="Cambria Math"/>
        </w:rPr>
        <w:instrText>‐</w:instrText>
      </w:r>
      <w:r w:rsidR="00285EA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85EAC">
        <w:rPr>
          <w:rFonts w:ascii="Cambria Math" w:eastAsia="Verdana" w:hAnsi="Cambria Math" w:cs="Cambria Math"/>
        </w:rPr>
        <w:instrText>‐</w:instrText>
      </w:r>
      <w:r w:rsidR="00285EA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85EAC">
        <w:rPr>
          <w:rFonts w:ascii="Cambria Math" w:eastAsia="Verdana" w:hAnsi="Cambria Math" w:cs="Cambria Math"/>
        </w:rPr>
        <w:instrText>‐</w:instrText>
      </w:r>
      <w:r w:rsidR="00285EA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(SNR) and contrast</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85EAC">
        <w:rPr>
          <w:rFonts w:ascii="Cambria Math" w:eastAsia="Verdana" w:hAnsi="Cambria Math" w:cs="Cambria Math"/>
        </w:rPr>
        <w:instrText>‐</w:instrText>
      </w:r>
      <w:r w:rsidR="00285EA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85EAC">
        <w:rPr>
          <w:rFonts w:ascii="Cambria Math" w:eastAsia="Verdana" w:hAnsi="Cambria Math" w:cs="Cambria Math"/>
        </w:rPr>
        <w:instrText>‐</w:instrText>
      </w:r>
      <w:r w:rsidR="00285EAC">
        <w:rPr>
          <w:rFonts w:ascii="Verdana" w:eastAsia="Verdana" w:hAnsi="Verdana" w:cs="Verdana"/>
        </w:rPr>
        <w:instrText>ratio radial MRI using one</w:instrText>
      </w:r>
      <w:r w:rsidR="00285EAC">
        <w:rPr>
          <w:rFonts w:ascii="Cambria Math" w:eastAsia="Verdana" w:hAnsi="Cambria Math" w:cs="Cambria Math"/>
        </w:rPr>
        <w:instrText>‐</w:instrText>
      </w:r>
      <w:r w:rsidR="00285EAC">
        <w:rPr>
          <w:rFonts w:ascii="Verdana" w:eastAsia="Verdana" w:hAnsi="Verdana" w:cs="Verdana"/>
        </w:rPr>
        <w:instrText>dimensional navigators","volume":"40","author":[{"family":"Krämer","given":"Martin"},{"family":"Herrmann","given":"Karl</w:instrText>
      </w:r>
      <w:r w:rsidR="00285EAC">
        <w:rPr>
          <w:rFonts w:ascii="Cambria Math" w:eastAsia="Verdana" w:hAnsi="Cambria Math" w:cs="Cambria Math"/>
        </w:rPr>
        <w:instrText>‐</w:instrText>
      </w:r>
      <w:r w:rsidR="00285EA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7E588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285EAC">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This open-</w:t>
      </w:r>
      <w:r w:rsidR="0061638A" w:rsidRPr="0061638A">
        <w:rPr>
          <w:rFonts w:ascii="Verdana" w:eastAsia="Verdana" w:hAnsi="Verdana" w:cs="Verdana"/>
        </w:rPr>
        <w:lastRenderedPageBreak/>
        <w:t xml:space="preserve">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w:t>
      </w:r>
      <w:proofErr w:type="gramStart"/>
      <w:r w:rsidR="00CB3159">
        <w:rPr>
          <w:rFonts w:ascii="Verdana" w:eastAsia="Verdana" w:hAnsi="Verdana" w:cs="Verdana"/>
        </w:rPr>
        <w:t>lower</w:t>
      </w:r>
      <w:proofErr w:type="gramEnd"/>
      <w:r w:rsidR="00CB3159">
        <w:rPr>
          <w:rFonts w:ascii="Verdana" w:eastAsia="Verdana" w:hAnsi="Verdana" w:cs="Verdana"/>
        </w:rPr>
        <w:t xml:space="preserve">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A86F7B7"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951F1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connected (e.g.,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w:t>
      </w:r>
      <w:r w:rsidR="006F50D0" w:rsidRPr="006F50D0">
        <w:rPr>
          <w:rFonts w:ascii="Verdana" w:eastAsia="Verdana" w:hAnsi="Verdana" w:cs="Verdana"/>
        </w:rPr>
        <w:lastRenderedPageBreak/>
        <w:t xml:space="preserve">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5C48EC5"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223608F6"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(orange dots) can be transformed to align with the bone edge at any point during the motion cycle through the computation of optimal transformation parameters.</w:t>
      </w:r>
    </w:p>
    <w:p w14:paraId="71954DB6" w14:textId="6159AC1D"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3BDD9FD0"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285EAC">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285EAC" w:rsidRPr="00285EAC">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AADF42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285EAC">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285EAC" w:rsidRPr="00285EAC">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lang/>
        </w:rPr>
      </w:pPr>
      <w:r w:rsidRPr="00EB5D3C">
        <w:rPr>
          <w:rFonts w:ascii="Verdana" w:hAnsi="Verdana"/>
          <w:lang/>
        </w:rPr>
        <w:t xml:space="preserve">The semi-automated tracking algorithm successfully tracked both the tibia and femur edges throughout the motion cycle for all five subjects, with a combined </w:t>
      </w:r>
      <w:r w:rsidRPr="00EB5D3C">
        <w:rPr>
          <w:rFonts w:ascii="Verdana" w:hAnsi="Verdana"/>
          <w:lang/>
        </w:rPr>
        <w:lastRenderedPageBreak/>
        <w:t xml:space="preserve">average alignment error of 0.40 ± 0.02 mm for both bones. </w:t>
      </w:r>
      <w:r w:rsidRPr="00EB5D3C">
        <w:rPr>
          <w:rFonts w:ascii="Verdana" w:hAnsi="Verdana"/>
          <w:b/>
          <w:bCs/>
          <w:lang/>
        </w:rPr>
        <w:t>Figure 4</w:t>
      </w:r>
      <w:r w:rsidRPr="00EB5D3C">
        <w:rPr>
          <w:rFonts w:ascii="Verdana" w:hAnsi="Verdana"/>
          <w:lang/>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lang/>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65EFDAE4" w14:textId="6F0813DD" w:rsidR="00EA5EF9" w:rsidRPr="00EB5D3C" w:rsidRDefault="00EA5EF9" w:rsidP="00EB5D3C">
      <w:pPr>
        <w:spacing w:line="360" w:lineRule="auto"/>
        <w:jc w:val="both"/>
        <w:rPr>
          <w:rFonts w:ascii="Verdana" w:hAnsi="Verdana"/>
          <w:lang/>
        </w:rPr>
      </w:pPr>
      <w:r w:rsidRPr="00EA5EF9">
        <w:rPr>
          <w:rFonts w:ascii="Verdana" w:hAnsi="Verdana"/>
        </w:rPr>
        <w:t xml:space="preserve">The tracking accuracy of 0.40 ± 0.02 mm achieved by our algorithm demonstrates that reliable bone tracking is possible directly from 2D CINE MRI data of controlled knee motion. </w:t>
      </w:r>
      <w:r w:rsidR="007E07B4" w:rsidRPr="007E07B4">
        <w:rPr>
          <w:rFonts w:ascii="Verdana" w:hAnsi="Verdana"/>
        </w:rPr>
        <w:t>The consistently lower standard deviations in the measurements extracted using the semi-automated method compared to manual segmentation suggest enhanced measurement precision.</w:t>
      </w:r>
      <w:r w:rsidR="007E07B4">
        <w:rPr>
          <w:rFonts w:ascii="Verdana" w:hAnsi="Verdana"/>
        </w:rPr>
        <w:t xml:space="preserve"> </w:t>
      </w:r>
      <w:r w:rsidR="007E07B4" w:rsidRPr="007E07B4">
        <w:rPr>
          <w:rFonts w:ascii="Verdana" w:hAnsi="Verdana"/>
        </w:rPr>
        <w:t>Notably, the centroid-based distances showed strong symmetry between flexion and extension phases, further supporting the robustness of our tracking method across the complete motion cycle</w:t>
      </w:r>
      <w:r w:rsidR="007E07B4">
        <w:rPr>
          <w:rFonts w:ascii="Verdana" w:hAnsi="Verdana"/>
        </w:rPr>
        <w:t xml:space="preserve">. </w:t>
      </w:r>
      <w:r w:rsidR="007E07B4" w:rsidRPr="007E07B4">
        <w:rPr>
          <w:rFonts w:ascii="Verdana" w:hAnsi="Verdana"/>
        </w:rPr>
        <w:t xml:space="preserve">The improved measurement consistency, combined with the substantial reduction in processing time from approximately 15 to 5 minutes per dataset, demonstrates the practical advantages of automated tracking approaches. The successful implementation of this tracking approach for 2D imaging provides a foundation for future development of similar principles for more complex 3D dynamic imaging applications. </w:t>
      </w:r>
      <w:r w:rsidR="007E07B4" w:rsidRPr="007E07B4">
        <w:rPr>
          <w:rFonts w:ascii="Verdana" w:hAnsi="Verdana"/>
        </w:rPr>
        <w:t>The</w:t>
      </w:r>
      <w:r w:rsidR="007E07B4" w:rsidRPr="007E07B4">
        <w:rPr>
          <w:rFonts w:ascii="Verdana" w:hAnsi="Verdana"/>
        </w:rPr>
        <w:t xml:space="preserve"> ability to precisely track relative bone positions opens potential applications in studying joint conditions associated with altered motion patterns. For instance, conditions resulting in increased joint laxity might manifest as differences in these centroid-based measurements. Furthermore, our setup's capability to operate under loaded conditions could enable comparative studies between loaded and unloaded states, though the clinical interpretation of such differences would require careful validation in future studies</w:t>
      </w:r>
    </w:p>
    <w:p w14:paraId="731A1BA5" w14:textId="3EF6A0A1" w:rsidR="00EB5D3C" w:rsidRDefault="00EA5EF9" w:rsidP="000423D6">
      <w:pPr>
        <w:spacing w:line="360" w:lineRule="auto"/>
        <w:jc w:val="both"/>
        <w:rPr>
          <w:rFonts w:ascii="Verdana" w:hAnsi="Verdana"/>
          <w:u w:val="single"/>
          <w:lang/>
        </w:rPr>
      </w:pPr>
      <w:r w:rsidRPr="00EA5EF9">
        <w:rPr>
          <w:rFonts w:ascii="Verdana" w:hAnsi="Verdana"/>
          <w:u w:val="single"/>
          <w:lang/>
        </w:rPr>
        <w:lastRenderedPageBreak/>
        <w:t xml:space="preserve">4. Conclusion </w:t>
      </w:r>
    </w:p>
    <w:p w14:paraId="5AAC8010" w14:textId="11949DD7" w:rsidR="00EA5EF9" w:rsidRPr="00EA5EF9" w:rsidRDefault="00EA5EF9" w:rsidP="000423D6">
      <w:pPr>
        <w:spacing w:line="360" w:lineRule="auto"/>
        <w:jc w:val="both"/>
        <w:rPr>
          <w:rFonts w:ascii="Verdana" w:hAnsi="Verdana"/>
          <w:lang/>
        </w:rPr>
      </w:pPr>
      <w:r w:rsidRPr="00EA5EF9">
        <w:rPr>
          <w:rFonts w:ascii="Verdana" w:hAnsi="Verdana"/>
        </w:rPr>
        <w:t>We have developed and validated a semi-automated method for extracting tibiofemoral kinematics from 2D CINE MRI sequences acquired during controlled knee flexion-extension using a custom MR-compatible loading device. The algorithm successfully tracks bone motion by combining edge detection with connected component labeling, requiring minimal manual input and reducing processing time compared to manual segmentation. When compared to manual segmentation, the method showed lower variability in measuring tibiofemoral angle and translations across subjects. Future work should focus on extending these tracking principles to 3D dynamic imaging sequences to enable analysis of more complex knee motion patterns.</w:t>
      </w:r>
    </w:p>
    <w:p w14:paraId="10798B2E" w14:textId="77777777" w:rsidR="009E0853" w:rsidRDefault="009E0853" w:rsidP="000423D6">
      <w:pPr>
        <w:spacing w:line="360" w:lineRule="auto"/>
        <w:jc w:val="both"/>
        <w:rPr>
          <w:rFonts w:ascii="Verdana" w:hAnsi="Verdana"/>
        </w:rPr>
      </w:pPr>
    </w:p>
    <w:p w14:paraId="3C75BF97" w14:textId="77777777" w:rsidR="009E0853" w:rsidRDefault="009E0853" w:rsidP="000423D6">
      <w:pPr>
        <w:spacing w:line="360" w:lineRule="auto"/>
        <w:jc w:val="both"/>
        <w:rPr>
          <w:rFonts w:ascii="Verdana" w:hAnsi="Verdana"/>
        </w:rPr>
      </w:pPr>
    </w:p>
    <w:p w14:paraId="7108FC3E" w14:textId="77777777" w:rsidR="00EB5D3C" w:rsidRPr="00EB5D3C" w:rsidRDefault="00285EAC" w:rsidP="00EB5D3C">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EB5D3C" w:rsidRPr="00EB5D3C">
        <w:t xml:space="preserve">1. </w:t>
      </w:r>
      <w:r w:rsidR="00EB5D3C" w:rsidRPr="00EB5D3C">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00C1D408" w14:textId="77777777" w:rsidR="00EB5D3C" w:rsidRPr="00EB5D3C" w:rsidRDefault="00EB5D3C" w:rsidP="00EB5D3C">
      <w:pPr>
        <w:pStyle w:val="Bibliography"/>
      </w:pPr>
      <w:r w:rsidRPr="00EB5D3C">
        <w:t xml:space="preserve">2. </w:t>
      </w:r>
      <w:r w:rsidRPr="00EB5D3C">
        <w:tab/>
        <w:t>Kaufman KR, Hughes C, Morrey BF, Morrey M, An KN. Gait characteristics of patients with knee osteoarthritis. Journal of Biomechanics 2001; 34 :907–15. https://doi.org/10.1016/S0021-9290(01)00036-7</w:t>
      </w:r>
    </w:p>
    <w:p w14:paraId="26EFF3FA" w14:textId="77777777" w:rsidR="00EB5D3C" w:rsidRPr="00EB5D3C" w:rsidRDefault="00EB5D3C" w:rsidP="00EB5D3C">
      <w:pPr>
        <w:pStyle w:val="Bibliography"/>
      </w:pPr>
      <w:r w:rsidRPr="00EB5D3C">
        <w:t xml:space="preserve">3. </w:t>
      </w:r>
      <w:r w:rsidRPr="00EB5D3C">
        <w:tab/>
        <w:t>Astephen JL, Deluzio KJ, Caldwell GE, Dunbar MJ. Biomechanical changes at the hip, knee, and ankle joints during gait are associated with knee osteoarthritis severity. Journal Orthopaedic Research 2008; 26 :332–41. https://doi.org/10.1002/jor.20496</w:t>
      </w:r>
    </w:p>
    <w:p w14:paraId="5E6F72B8" w14:textId="77777777" w:rsidR="00EB5D3C" w:rsidRPr="00EB5D3C" w:rsidRDefault="00EB5D3C" w:rsidP="00EB5D3C">
      <w:pPr>
        <w:pStyle w:val="Bibliography"/>
      </w:pPr>
      <w:r w:rsidRPr="00EB5D3C">
        <w:t xml:space="preserve">4. </w:t>
      </w:r>
      <w:r w:rsidRPr="00EB5D3C">
        <w:tab/>
        <w:t>Tashman S, Kopf S, Fu FH. The Kinematic Basis of Anterior Cruciate Ligament Reconstruction. Operative Techniques in Sports Medicine 2008; 16 :116–8. https://doi.org/10.1053/j.otsm.2008.10.005</w:t>
      </w:r>
    </w:p>
    <w:p w14:paraId="7490EB53" w14:textId="77777777" w:rsidR="00EB5D3C" w:rsidRPr="00EB5D3C" w:rsidRDefault="00EB5D3C" w:rsidP="00EB5D3C">
      <w:pPr>
        <w:pStyle w:val="Bibliography"/>
      </w:pPr>
      <w:r w:rsidRPr="00EB5D3C">
        <w:t xml:space="preserve">5. </w:t>
      </w:r>
      <w:r w:rsidRPr="00EB5D3C">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76A0B5A7" w14:textId="77777777" w:rsidR="00EB5D3C" w:rsidRPr="00EB5D3C" w:rsidRDefault="00EB5D3C" w:rsidP="00EB5D3C">
      <w:pPr>
        <w:pStyle w:val="Bibliography"/>
      </w:pPr>
      <w:r w:rsidRPr="00EB5D3C">
        <w:t xml:space="preserve">6. </w:t>
      </w:r>
      <w:r w:rsidRPr="00EB5D3C">
        <w:tab/>
        <w:t>Barrance PJ, Williams GN, Snyder-Mackler L, Buchanan TS. Altered knee kinematics in ACL-deficient non-copers: a comparison using dynamic MRI. J Orthop Res 2006; 24 :132–40. https://doi.org/10.1002/jor.20016</w:t>
      </w:r>
    </w:p>
    <w:p w14:paraId="0E65B418" w14:textId="77777777" w:rsidR="00EB5D3C" w:rsidRPr="00EB5D3C" w:rsidRDefault="00EB5D3C" w:rsidP="00EB5D3C">
      <w:pPr>
        <w:pStyle w:val="Bibliography"/>
      </w:pPr>
      <w:r w:rsidRPr="00EB5D3C">
        <w:t xml:space="preserve">7. </w:t>
      </w:r>
      <w:r w:rsidRPr="00EB5D3C">
        <w:tab/>
        <w:t>Markolf KL, Burchfield DM, Shapiro MM, Shepard MF, Finerman GAM, Slauterbeck JL. Combined knee loading states that generate high anterior cruciate ligament forces. Journal Orthopaedic Research 1995; 13 :930–5. https://doi.org/10.1002/jor.1100130618</w:t>
      </w:r>
    </w:p>
    <w:p w14:paraId="6EBAA9E6" w14:textId="77777777" w:rsidR="00EB5D3C" w:rsidRPr="00EB5D3C" w:rsidRDefault="00EB5D3C" w:rsidP="00EB5D3C">
      <w:pPr>
        <w:pStyle w:val="Bibliography"/>
      </w:pPr>
      <w:r w:rsidRPr="00EB5D3C">
        <w:lastRenderedPageBreak/>
        <w:t xml:space="preserve">8. </w:t>
      </w:r>
      <w:r w:rsidRPr="00EB5D3C">
        <w:tab/>
        <w:t>Chaudhari AMW, Briant PL, Bevill SL, Koo S, Andriacchi TP. Knee Kinematics, Cartilage Morphology, and Osteoarthritis after ACL Injury. Medicine &amp; Science in Sports &amp; Exercise 2008; 40 :215–22. https://doi.org/10.1249/mss.0b013e31815cbb0e</w:t>
      </w:r>
    </w:p>
    <w:p w14:paraId="0A14CAB4" w14:textId="77777777" w:rsidR="00EB5D3C" w:rsidRPr="00EB5D3C" w:rsidRDefault="00EB5D3C" w:rsidP="00EB5D3C">
      <w:pPr>
        <w:pStyle w:val="Bibliography"/>
      </w:pPr>
      <w:r w:rsidRPr="00EB5D3C">
        <w:t xml:space="preserve">9. </w:t>
      </w:r>
      <w:r w:rsidRPr="00EB5D3C">
        <w:tab/>
        <w:t>Andriacchi TP, Mündermann A. The role of ambulatory mechanics in the initiation and progression of knee osteoarthritis. Curr Opin Rheumatol 2006; 18 :514–8. https://doi.org/10.1097/01.bor.0000240365.16842.4e</w:t>
      </w:r>
    </w:p>
    <w:p w14:paraId="5AB10F77" w14:textId="77777777" w:rsidR="00EB5D3C" w:rsidRPr="00EB5D3C" w:rsidRDefault="00EB5D3C" w:rsidP="00EB5D3C">
      <w:pPr>
        <w:pStyle w:val="Bibliography"/>
      </w:pPr>
      <w:r w:rsidRPr="00EB5D3C">
        <w:t xml:space="preserve">10. </w:t>
      </w:r>
      <w:r w:rsidRPr="00EB5D3C">
        <w:tab/>
        <w:t>Conconi M, De Carli F, Berni M, Sancisi N, Parenti-Castelli V, Monetti G. In-Vivo Quantification of Knee Deep-Flexion in Physiological Loading Condition trough Dynamic MRI. Applied Sciences 2023; 13 :629. https://doi.org/10.3390/app13010629</w:t>
      </w:r>
    </w:p>
    <w:p w14:paraId="55AB2B49" w14:textId="77777777" w:rsidR="00EB5D3C" w:rsidRPr="00EB5D3C" w:rsidRDefault="00EB5D3C" w:rsidP="00EB5D3C">
      <w:pPr>
        <w:pStyle w:val="Bibliography"/>
      </w:pPr>
      <w:r w:rsidRPr="00EB5D3C">
        <w:t xml:space="preserve">11. </w:t>
      </w:r>
      <w:r w:rsidRPr="00EB5D3C">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2A86E4E" w14:textId="77777777" w:rsidR="00EB5D3C" w:rsidRPr="00EB5D3C" w:rsidRDefault="00EB5D3C" w:rsidP="00EB5D3C">
      <w:pPr>
        <w:pStyle w:val="Bibliography"/>
        <w:rPr>
          <w:lang w:val="de-DE"/>
        </w:rPr>
      </w:pPr>
      <w:r w:rsidRPr="00EB5D3C">
        <w:t xml:space="preserve">12. </w:t>
      </w:r>
      <w:r w:rsidRPr="00EB5D3C">
        <w:tab/>
        <w:t xml:space="preserve">Kaiser JM, Vignos MF, Kijowski R, Baer G, Thelen DG. Effect of Loading on In Vivo Tibiofemoral and Patellofemoral Kinematics of Healthy and ACL-Reconstructed Knees. </w:t>
      </w:r>
      <w:r w:rsidRPr="00EB5D3C">
        <w:rPr>
          <w:lang w:val="de-DE"/>
        </w:rPr>
        <w:t>Am J Sports Med 2017; 45 :3272–9. https://doi.org/10.1177/0363546517724417</w:t>
      </w:r>
    </w:p>
    <w:p w14:paraId="329C778F" w14:textId="77777777" w:rsidR="00EB5D3C" w:rsidRPr="00EB5D3C" w:rsidRDefault="00EB5D3C" w:rsidP="00EB5D3C">
      <w:pPr>
        <w:pStyle w:val="Bibliography"/>
      </w:pPr>
      <w:r w:rsidRPr="00EB5D3C">
        <w:rPr>
          <w:lang w:val="de-DE"/>
        </w:rPr>
        <w:t xml:space="preserve">13. </w:t>
      </w:r>
      <w:r w:rsidRPr="00EB5D3C">
        <w:rPr>
          <w:lang w:val="de-DE"/>
        </w:rPr>
        <w:tab/>
        <w:t xml:space="preserve">Brossmann J, Muhle C, Schröder C, Melchert UH, Büll CC, Spielmann RP, et al. </w:t>
      </w:r>
      <w:r w:rsidRPr="00EB5D3C">
        <w:t>Patellar tracking patterns during active and passive knee extension: evaluation with motion-triggered cine MR imaging. Radiology 1993; 187 :205–12. https://doi.org/10.1148/radiology.187.1.8451415</w:t>
      </w:r>
    </w:p>
    <w:p w14:paraId="37A37EE5" w14:textId="77777777" w:rsidR="00EB5D3C" w:rsidRPr="00EB5D3C" w:rsidRDefault="00EB5D3C" w:rsidP="00EB5D3C">
      <w:pPr>
        <w:pStyle w:val="Bibliography"/>
      </w:pPr>
      <w:r w:rsidRPr="00EB5D3C">
        <w:t xml:space="preserve">14. </w:t>
      </w:r>
      <w:r w:rsidRPr="00EB5D3C">
        <w:tab/>
        <w:t>Seisler AR, Sheehan FT. Normative three-dimensional patellofemoral and tibiofemoral kinematics: a dynamic, in vivo study. IEEE Trans Biomed Eng 2007; 54 :1333–41. https://doi.org/10.1109/TBME.2007.890735</w:t>
      </w:r>
    </w:p>
    <w:p w14:paraId="1647D7C8" w14:textId="77777777" w:rsidR="00EB5D3C" w:rsidRPr="00EB5D3C" w:rsidRDefault="00EB5D3C" w:rsidP="00EB5D3C">
      <w:pPr>
        <w:pStyle w:val="Bibliography"/>
        <w:rPr>
          <w:lang w:val="de-DE"/>
        </w:rPr>
      </w:pPr>
      <w:r w:rsidRPr="00EB5D3C">
        <w:t xml:space="preserve">15. </w:t>
      </w:r>
      <w:r w:rsidRPr="00EB5D3C">
        <w:tab/>
        <w:t xml:space="preserve">Behnam AJ, Herzka DA, Sheehan FT. Assessing the accuracy and precision of musculoskeletal motion tracking using cine-PC MRI on a 3.0T platform. </w:t>
      </w:r>
      <w:r w:rsidRPr="00EB5D3C">
        <w:rPr>
          <w:lang w:val="de-DE"/>
        </w:rPr>
        <w:t>J Biomech 2011; 44 :193–7. https://doi.org/10.1016/j.jbiomech.2010.08.029</w:t>
      </w:r>
    </w:p>
    <w:p w14:paraId="5D2DDD29" w14:textId="77777777" w:rsidR="00EB5D3C" w:rsidRPr="00EB5D3C" w:rsidRDefault="00EB5D3C" w:rsidP="00EB5D3C">
      <w:pPr>
        <w:pStyle w:val="Bibliography"/>
      </w:pPr>
      <w:r w:rsidRPr="00EB5D3C">
        <w:rPr>
          <w:lang w:val="de-DE"/>
        </w:rPr>
        <w:t xml:space="preserve">16. </w:t>
      </w:r>
      <w:r w:rsidRPr="00EB5D3C">
        <w:rPr>
          <w:lang w:val="de-DE"/>
        </w:rPr>
        <w:tab/>
        <w:t xml:space="preserve">Kaiser J, Bradford R, Johnson K, Wieben O, Thelen DG. </w:t>
      </w:r>
      <w:r w:rsidRPr="00EB5D3C">
        <w:t>Measurement of tibiofemoral kinematics using highly accelerated 3D radial sampling. Magnetic Resonance in Med 2013; 69 :1310–6. https://doi.org/10.1002/mrm.24362</w:t>
      </w:r>
    </w:p>
    <w:p w14:paraId="438A4F00" w14:textId="77777777" w:rsidR="00EB5D3C" w:rsidRPr="00EB5D3C" w:rsidRDefault="00EB5D3C" w:rsidP="00EB5D3C">
      <w:pPr>
        <w:pStyle w:val="Bibliography"/>
      </w:pPr>
      <w:r w:rsidRPr="00EB5D3C">
        <w:t xml:space="preserve">17. </w:t>
      </w:r>
      <w:r w:rsidRPr="00EB5D3C">
        <w:tab/>
        <w:t>Westphal CJ, Schmitz A, Reeder SB, Thelen DG. Load-dependent variations in knee kinematics measured with dynamic MRI. Journal of Biomechanics 2013; 46 :2045–52. https://doi.org/10.1016/j.jbiomech.2013.05.027</w:t>
      </w:r>
    </w:p>
    <w:p w14:paraId="2C059C6D" w14:textId="77777777" w:rsidR="00EB5D3C" w:rsidRPr="00EB5D3C" w:rsidRDefault="00EB5D3C" w:rsidP="00EB5D3C">
      <w:pPr>
        <w:pStyle w:val="Bibliography"/>
      </w:pPr>
      <w:r w:rsidRPr="00EB5D3C">
        <w:t xml:space="preserve">18. </w:t>
      </w:r>
      <w:r w:rsidRPr="00EB5D3C">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6E4ECAE0" w14:textId="77777777" w:rsidR="00EB5D3C" w:rsidRPr="00EB5D3C" w:rsidRDefault="00EB5D3C" w:rsidP="00EB5D3C">
      <w:pPr>
        <w:pStyle w:val="Bibliography"/>
        <w:rPr>
          <w:lang w:val="de-DE"/>
        </w:rPr>
      </w:pPr>
      <w:r w:rsidRPr="00EB5D3C">
        <w:t xml:space="preserve">19. </w:t>
      </w:r>
      <w:r w:rsidRPr="00EB5D3C">
        <w:tab/>
        <w:t xml:space="preserve">Winkelmann S, Schaeffter T, Koehler T, Eggers H, Doessel O. An Optimal Radial Profile Order Based on the Golden Ratio for Time-Resolved MRI. </w:t>
      </w:r>
      <w:r w:rsidRPr="00EB5D3C">
        <w:rPr>
          <w:lang w:val="de-DE"/>
        </w:rPr>
        <w:t>IEEE Trans Med Imaging 2007; 26 :68–76. https://doi.org/10.1109/TMI.2006.885337</w:t>
      </w:r>
    </w:p>
    <w:p w14:paraId="5FC9E5F0" w14:textId="77777777" w:rsidR="00EB5D3C" w:rsidRPr="00EB5D3C" w:rsidRDefault="00EB5D3C" w:rsidP="00EB5D3C">
      <w:pPr>
        <w:pStyle w:val="Bibliography"/>
      </w:pPr>
      <w:r w:rsidRPr="00EB5D3C">
        <w:rPr>
          <w:lang w:val="de-DE"/>
        </w:rPr>
        <w:lastRenderedPageBreak/>
        <w:t xml:space="preserve">20. </w:t>
      </w:r>
      <w:r w:rsidRPr="00EB5D3C">
        <w:rPr>
          <w:lang w:val="de-DE"/>
        </w:rPr>
        <w:tab/>
        <w:t xml:space="preserve">Krämer M, Herrmann K, Biermann J, Reichenbach JR. </w:t>
      </w:r>
      <w:r w:rsidRPr="00EB5D3C">
        <w:t>Retrospective reconstruction of cardiac cine images from golden</w:t>
      </w:r>
      <w:r w:rsidRPr="00EB5D3C">
        <w:rPr>
          <w:rFonts w:ascii="Cambria Math" w:hAnsi="Cambria Math" w:cs="Cambria Math"/>
        </w:rPr>
        <w:t>‐</w:t>
      </w:r>
      <w:r w:rsidRPr="00EB5D3C">
        <w:t>ratio radial MRI using one</w:t>
      </w:r>
      <w:r w:rsidRPr="00EB5D3C">
        <w:rPr>
          <w:rFonts w:ascii="Cambria Math" w:hAnsi="Cambria Math" w:cs="Cambria Math"/>
        </w:rPr>
        <w:t>‐</w:t>
      </w:r>
      <w:r w:rsidRPr="00EB5D3C">
        <w:t>dimensional navigators. Magnetic Resonance Imaging 2014; 40 :413</w:t>
      </w:r>
      <w:r w:rsidRPr="00EB5D3C">
        <w:rPr>
          <w:rFonts w:ascii="Aptos" w:hAnsi="Aptos" w:cs="Aptos"/>
        </w:rPr>
        <w:t>–</w:t>
      </w:r>
      <w:r w:rsidRPr="00EB5D3C">
        <w:t>22. https://doi.org/10.1002/jmri.24364</w:t>
      </w:r>
    </w:p>
    <w:p w14:paraId="5F871E0C" w14:textId="77777777" w:rsidR="00EB5D3C" w:rsidRPr="00EB5D3C" w:rsidRDefault="00EB5D3C" w:rsidP="00EB5D3C">
      <w:pPr>
        <w:pStyle w:val="Bibliography"/>
      </w:pPr>
      <w:r w:rsidRPr="00EB5D3C">
        <w:t xml:space="preserve">21. </w:t>
      </w:r>
      <w:r w:rsidRPr="00EB5D3C">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5D98A7D8" w14:textId="77777777" w:rsidR="00EB5D3C" w:rsidRPr="00EB5D3C" w:rsidRDefault="00EB5D3C" w:rsidP="00EB5D3C">
      <w:pPr>
        <w:pStyle w:val="Bibliography"/>
      </w:pPr>
      <w:r w:rsidRPr="00EB5D3C">
        <w:t xml:space="preserve">22. </w:t>
      </w:r>
      <w:r w:rsidRPr="00EB5D3C">
        <w:tab/>
        <w:t>Wood T, Ljungberg E, Wiesinger F. Radial Interstices Enable Speedy Low-volume Imaging. JOSS 2021; 6 :3500. https://doi.org/10.21105/joss.03500</w:t>
      </w:r>
    </w:p>
    <w:p w14:paraId="446C027A" w14:textId="77777777" w:rsidR="00EB5D3C" w:rsidRPr="00EB5D3C" w:rsidRDefault="00EB5D3C" w:rsidP="00EB5D3C">
      <w:pPr>
        <w:pStyle w:val="Bibliography"/>
      </w:pPr>
      <w:r w:rsidRPr="00EB5D3C">
        <w:t xml:space="preserve">23. </w:t>
      </w:r>
      <w:r w:rsidRPr="00EB5D3C">
        <w:tab/>
        <w:t>Canny J. A Computational Approach to Edge Detection. IEEE Trans Pattern Anal Mach Intell 1986; PAMI-8 :679–98. https://doi.org/10.1109/TPAMI.1986.4767851</w:t>
      </w:r>
    </w:p>
    <w:p w14:paraId="7EA7E991" w14:textId="77777777" w:rsidR="00EB5D3C" w:rsidRPr="00EB5D3C" w:rsidRDefault="00EB5D3C" w:rsidP="00EB5D3C">
      <w:pPr>
        <w:pStyle w:val="Bibliography"/>
        <w:rPr>
          <w:lang w:val="de-DE"/>
        </w:rPr>
      </w:pPr>
      <w:r w:rsidRPr="00EB5D3C">
        <w:t xml:space="preserve">24. </w:t>
      </w:r>
      <w:r w:rsidRPr="00EB5D3C">
        <w:tab/>
        <w:t xml:space="preserve">Dillencourt MB, Samet H, Tamminen M. A general approach to connected-component labeling for arbitrary image representations. </w:t>
      </w:r>
      <w:r w:rsidRPr="00EB5D3C">
        <w:rPr>
          <w:lang w:val="de-DE"/>
        </w:rPr>
        <w:t>J ACM 1992; 39 :253–80. https://doi.org/10.1145/128749.128750</w:t>
      </w:r>
    </w:p>
    <w:p w14:paraId="0AB86B6C" w14:textId="77777777" w:rsidR="00EB5D3C" w:rsidRPr="00EB5D3C" w:rsidRDefault="00EB5D3C" w:rsidP="00EB5D3C">
      <w:pPr>
        <w:pStyle w:val="Bibliography"/>
      </w:pPr>
      <w:r w:rsidRPr="00EB5D3C">
        <w:rPr>
          <w:lang w:val="de-DE"/>
        </w:rPr>
        <w:t xml:space="preserve">25. </w:t>
      </w:r>
      <w:r w:rsidRPr="00EB5D3C">
        <w:rPr>
          <w:lang w:val="de-DE"/>
        </w:rPr>
        <w:tab/>
        <w:t xml:space="preserve">Hinneburg A, Aggarwal CC, Keim DA. </w:t>
      </w:r>
      <w:r w:rsidRPr="00EB5D3C">
        <w:t>What is the nearest neighbor in high dimensional spaces? Proc of the 26th Internat Conference on Very Large Databases, Cairo, Egypt, 2000 2000; :506–15</w:t>
      </w:r>
    </w:p>
    <w:p w14:paraId="5FFDB891" w14:textId="77777777" w:rsidR="00EB5D3C" w:rsidRPr="00EB5D3C" w:rsidRDefault="00EB5D3C" w:rsidP="00EB5D3C">
      <w:pPr>
        <w:pStyle w:val="Bibliography"/>
      </w:pPr>
      <w:r w:rsidRPr="00EB5D3C">
        <w:t xml:space="preserve">26. </w:t>
      </w:r>
      <w:r w:rsidRPr="00EB5D3C">
        <w:tab/>
        <w:t>De Boor C. A Practical Guide to Splines. 1978; 27. https://doi.org/10.1007/978-1-4612-6333-3</w:t>
      </w:r>
    </w:p>
    <w:p w14:paraId="239E8492" w14:textId="77777777" w:rsidR="00EB5D3C" w:rsidRPr="00EB5D3C" w:rsidRDefault="00EB5D3C" w:rsidP="00EB5D3C">
      <w:pPr>
        <w:pStyle w:val="Bibliography"/>
      </w:pPr>
      <w:r w:rsidRPr="00EB5D3C">
        <w:t xml:space="preserve">27. </w:t>
      </w:r>
      <w:r w:rsidRPr="00EB5D3C">
        <w:tab/>
        <w:t>Nelder JA, Mead R. A Simplex Method for Function Minimization. The Computer Journal 1965; 7 :308–13. https://doi.org/10.1093/comjnl/7.4.308</w:t>
      </w:r>
    </w:p>
    <w:p w14:paraId="13508C1D" w14:textId="77777777" w:rsidR="00EB5D3C" w:rsidRPr="00EB5D3C" w:rsidRDefault="00EB5D3C" w:rsidP="00EB5D3C">
      <w:pPr>
        <w:pStyle w:val="Bibliography"/>
      </w:pPr>
      <w:r w:rsidRPr="00EB5D3C">
        <w:t xml:space="preserve">28. </w:t>
      </w:r>
      <w:r w:rsidRPr="00EB5D3C">
        <w:tab/>
        <w:t>Sofroniew N, Lambert T, Evans K, Nunez-Iglesias J, Bokota G, Winston P, et al. napari: a multi-dimensional image viewer for Python. 2022; https://doi.org/10.5281/ZENODO.6598542</w:t>
      </w:r>
    </w:p>
    <w:p w14:paraId="141BFB6C" w14:textId="77777777" w:rsidR="00EB5D3C" w:rsidRPr="00EB5D3C" w:rsidRDefault="00EB5D3C" w:rsidP="00EB5D3C">
      <w:pPr>
        <w:pStyle w:val="Bibliography"/>
      </w:pPr>
      <w:r w:rsidRPr="00EB5D3C">
        <w:t xml:space="preserve">29. </w:t>
      </w:r>
      <w:r w:rsidRPr="00EB5D3C">
        <w:tab/>
        <w:t>Jolliffe IT. Principal component analysis. 2. ed., [Nachdr.]. 2004;</w:t>
      </w:r>
    </w:p>
    <w:p w14:paraId="66AD6C8B" w14:textId="3CA9402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DB34E" w14:textId="77777777" w:rsidR="00190A31" w:rsidRDefault="00190A31" w:rsidP="00FC327B">
      <w:pPr>
        <w:spacing w:after="0" w:line="240" w:lineRule="auto"/>
      </w:pPr>
      <w:r>
        <w:separator/>
      </w:r>
    </w:p>
  </w:endnote>
  <w:endnote w:type="continuationSeparator" w:id="0">
    <w:p w14:paraId="24EAD23B" w14:textId="77777777" w:rsidR="00190A31" w:rsidRDefault="00190A31"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CEF80" w14:textId="77777777" w:rsidR="00190A31" w:rsidRDefault="00190A31" w:rsidP="00FC327B">
      <w:pPr>
        <w:spacing w:after="0" w:line="240" w:lineRule="auto"/>
      </w:pPr>
      <w:r>
        <w:separator/>
      </w:r>
    </w:p>
  </w:footnote>
  <w:footnote w:type="continuationSeparator" w:id="0">
    <w:p w14:paraId="5E7C98D5" w14:textId="77777777" w:rsidR="00190A31" w:rsidRDefault="00190A31"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05D93"/>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D07"/>
    <w:rsid w:val="00182E1B"/>
    <w:rsid w:val="0019092C"/>
    <w:rsid w:val="00190A31"/>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010F"/>
    <w:rsid w:val="003B3851"/>
    <w:rsid w:val="003B5C59"/>
    <w:rsid w:val="003C0AC9"/>
    <w:rsid w:val="003C63A4"/>
    <w:rsid w:val="003D1567"/>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5464C"/>
    <w:rsid w:val="00463FA5"/>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7E07B4"/>
    <w:rsid w:val="00800292"/>
    <w:rsid w:val="0080495F"/>
    <w:rsid w:val="00804F50"/>
    <w:rsid w:val="008069C0"/>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0853"/>
    <w:rsid w:val="009E72D3"/>
    <w:rsid w:val="009F02C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33765"/>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10</Pages>
  <Words>15597</Words>
  <Characters>88907</Characters>
  <Application>Microsoft Office Word</Application>
  <DocSecurity>0</DocSecurity>
  <Lines>740</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89</cp:revision>
  <dcterms:created xsi:type="dcterms:W3CDTF">2024-09-26T09:55:00Z</dcterms:created>
  <dcterms:modified xsi:type="dcterms:W3CDTF">2024-11-19T20:52:00Z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id="OPNSGwT3"/&gt;&lt;style id="http://www.zotero.org/styles/zmp-journal" locale="en-US" hasBibliography="1" bibliographyStyleHasBeenSet="1"/&gt;&lt;prefs&gt;&lt;pref name="fieldType" value="Field"/&gt;&lt;/prefs&gt;&lt;/data&gt;</vt:lpwstr>
  </property>
</Properties>
</file>