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AWS Databricks Architecture Overview</w:t>
      </w:r>
    </w:p>
    <w:p>
      <w:r>
        <w:t>This document summarizes the AWS Databricks architectural components discussed in this chat, including control plane, data plane, compute, storage, networking, and security.</w:t>
      </w:r>
    </w:p>
    <w:p>
      <w:pPr>
        <w:pStyle w:val="Heading2"/>
      </w:pPr>
      <w:r>
        <w:t>Architecture Diagram</w:t>
      </w:r>
    </w:p>
    <w:p>
      <w:r>
        <w:t>The following diagram illustrates the AWS Databricks reference architecture.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_infographic-style_diagram_illustrates_the_AWS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Key Components</w:t>
      </w:r>
    </w:p>
    <w:p>
      <w:pPr>
        <w:pStyle w:val="ListBullet"/>
      </w:pPr>
      <w:r>
        <w:t>Databricks Control Plane: Managed by Databricks, includes Workspace UI, REST APIs, Job Scheduler, Metadata, and Unity Catalog.</w:t>
      </w:r>
    </w:p>
    <w:p>
      <w:pPr>
        <w:pStyle w:val="ListBullet"/>
      </w:pPr>
      <w:r>
        <w:t>Customer Data Plane (AWS Account): Runs in customer VPC and handles all data processing.</w:t>
      </w:r>
    </w:p>
    <w:p>
      <w:pPr>
        <w:pStyle w:val="ListBullet"/>
      </w:pPr>
      <w:r>
        <w:t>Compute Layer: EC2-based Spark clusters with driver and worker nodes, autoscaling enabled.</w:t>
      </w:r>
    </w:p>
    <w:p>
      <w:pPr>
        <w:pStyle w:val="ListBullet"/>
      </w:pPr>
      <w:r>
        <w:t>Storage Layer: Amazon S3 with Delta Lake tables for ACID-compliant storage.</w:t>
      </w:r>
    </w:p>
    <w:p>
      <w:pPr>
        <w:pStyle w:val="ListBullet"/>
      </w:pPr>
      <w:r>
        <w:t>Security &amp; Networking: IAM roles, KMS encryption, private subnets, and AWS PrivateLink.</w:t>
      </w:r>
    </w:p>
    <w:p>
      <w:pPr>
        <w:pStyle w:val="ListBullet"/>
      </w:pPr>
      <w:r>
        <w:t>Data Ingestion: Integration with RDS, Redshift, Kafka, Kinesis, SaaS apps, and streaming pipelines.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