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7388" cy="49672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8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60"/>
          <w:szCs w:val="60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60"/>
          <w:szCs w:val="60"/>
          <w:rtl w:val="0"/>
        </w:rPr>
        <w:t xml:space="preserve">Pensamento Computacional </w:t>
        <w:br w:type="textWrapping"/>
        <w:t xml:space="preserve">no Cerrado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Quicksand" w:cs="Quicksand" w:eastAsia="Quicksand" w:hAnsi="Quicksand"/>
          <w:b w:val="1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rtl w:val="0"/>
        </w:rPr>
        <w:t xml:space="preserve">Aula 03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Material de Apoio ao Docente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2676525</wp:posOffset>
            </wp:positionH>
            <wp:positionV relativeFrom="page">
              <wp:posOffset>342900</wp:posOffset>
            </wp:positionV>
            <wp:extent cx="2336963" cy="929038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4159" l="0" r="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3" cy="9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  <w:rtl w:val="0"/>
        </w:rPr>
        <w:t xml:space="preserve">Aula 03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“Mundo e Cultura Digital”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-185737</wp:posOffset>
            </wp:positionH>
            <wp:positionV relativeFrom="paragraph">
              <wp:posOffset>277586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Apresentar o que é hardware e software, bem como sobre sistemas de numeração, incluindo sistema binário, decimal e hexadecimal, e correlacionar com a forma com que as máquinas interpretam instruções em nosso cotidiano.</w:t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Conteúdos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Conceitos básicos de hardware e software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Entendendo os computadores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Relação de memória de celular e sistema binário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Sistema hexadecimal e as cores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Números e representação de imagens e símbolo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17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Materiais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Projetor multimídia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Apresentação de slides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Quadro branco como opção complementar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Papel e caneta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- Contador Binário (Manual do Mundo)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Material impresso -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Folha de Atividade “Binários”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Material impresso - Folha de Atividade “Colorindo com números”</w:t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Desenvolvimento (2h)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professor(a) deve iniciar a aula apresentando as definições de hardware e software, usando seus conceitos básicos para que possa ser introduzida a contextualização sobre o entendimento dos computadores.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Abordar o motivo dos celulares terem uma capacidade de memória definida, apresentando que essa característica é devido a forma de comunicação dos dispositivos. Dando início ao tema de sistema decimal, posteriormente ao sistema binário e hexadecimal. Usar os exemplos de cores, relógio e a própria logo do NEPeTI, para contextualizar as conversões entre os sistemas de representação numérica. Como forma complementar, exibir 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vídeo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do Manual do Mundo sobre os números binários, e como funcionaria um contador binário.</w:t>
      </w:r>
    </w:p>
    <w:p w:rsidR="00000000" w:rsidDel="00000000" w:rsidP="00000000" w:rsidRDefault="00000000" w:rsidRPr="00000000" w14:paraId="00000024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Como forma de fixar o conteúdo, aplicar a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folha de atividade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denominada “Binários”, para que os discentes possam escrever seus nomes em código binário, vislumbrando a sequência de 0 e 1 necessária para cada letra do alfabeto.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Prosseguir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explicando o processo para que as máquinas capturem imagens e, como realizam a interpretação das cores, para que possam reproduzi-las em monitores, TVs, e câmeras. Abordar sobre o sistema de representação de cores RGB, com exemplos de representação de algumas cores e frisar a importância dos números nesse processo,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relacionando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com o sistema hexadecimal. O docente poderá extrapolar o conteúdo demonstrando outras cores e seus respectivos códigos RGB e hexadecimal.</w:t>
      </w:r>
    </w:p>
    <w:p w:rsidR="00000000" w:rsidDel="00000000" w:rsidP="00000000" w:rsidRDefault="00000000" w:rsidRPr="00000000" w14:paraId="00000025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Além disso,  apresentar como são formadas as imagens e como hoje em dia, isso ajuda no reconhecimento de pessoas, apenas por uma foto, usando o conceito de pixels para identificar o rosto de uma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pessoa,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trazendo o conceito com exemplos do cotidiano.</w:t>
      </w:r>
    </w:p>
    <w:p w:rsidR="00000000" w:rsidDel="00000000" w:rsidP="00000000" w:rsidRDefault="00000000" w:rsidRPr="00000000" w14:paraId="00000026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Por fim, aplicar a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folha de atividade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“Colorindo com números”, para que os discentes possam desenhar figuras de acordo com orientações numéricas que indicam quantos quadrados devem ser pulados, quantos desenhados e assim por diante. Os estudantes também poderão criar seus próprios desenhos e orientações numéricas, fixando o entendimento sobre representações numéricas e suas aplicações. </w:t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Links Úteis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Contador Binário - Manual do Mundo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https://youtu.be/YgSjnLXM2Ts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Biografia Ada Lovelace - Fantástico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https://www.youtube.com/watch?v=kveunrBU5UM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Cores Primárias - Sesame Street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</w:rPr>
      </w:pPr>
      <w:hyperlink r:id="rId11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https://youtu.be/yu44JRTIxSQ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Padrão de Cores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https://tecnoblog.net/responde/o-que-sao-os-padroes-de-cores-rgb-e-cmyk/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Conversor de Cores RGB e Hexadecimal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https://wallky.com.br/tech/conversores/conversor-cor-rgb-hexadecimal.php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12" w:lineRule="auto"/>
        <w:rPr>
          <w:rFonts w:ascii="Quicksand" w:cs="Quicksand" w:eastAsia="Quicksand" w:hAnsi="Quicksand"/>
          <w:b w:val="1"/>
          <w:color w:val="0288d1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288d1"/>
          <w:sz w:val="28"/>
          <w:szCs w:val="28"/>
          <w:rtl w:val="0"/>
        </w:rPr>
        <w:t xml:space="preserve">Ficha Técnica </w:t>
      </w:r>
    </w:p>
    <w:p w:rsidR="00000000" w:rsidDel="00000000" w:rsidP="00000000" w:rsidRDefault="00000000" w:rsidRPr="00000000" w14:paraId="00000036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Instituto Federal de Educação, Ciência e Tecnologia Goiano – Campus Ceres</w:t>
      </w:r>
    </w:p>
    <w:p w:rsidR="00000000" w:rsidDel="00000000" w:rsidP="00000000" w:rsidRDefault="00000000" w:rsidRPr="00000000" w14:paraId="00000037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Chamada Pública IFES/SETEC/MEC nº 88/2022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– NEPeTI: Aplicando a Computação na Educação Básica do Cerrado</w:t>
      </w:r>
    </w:p>
    <w:p w:rsidR="00000000" w:rsidDel="00000000" w:rsidP="00000000" w:rsidRDefault="00000000" w:rsidRPr="00000000" w14:paraId="00000039">
      <w:pPr>
        <w:spacing w:line="312" w:lineRule="auto"/>
        <w:rPr>
          <w:rFonts w:ascii="Quicksand" w:cs="Quicksand" w:eastAsia="Quicksand" w:hAnsi="Quicksa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Autores:</w:t>
      </w:r>
    </w:p>
    <w:p w:rsidR="00000000" w:rsidDel="00000000" w:rsidP="00000000" w:rsidRDefault="00000000" w:rsidRPr="00000000" w14:paraId="0000003B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Sara Luiz de Farias</w:t>
      </w:r>
    </w:p>
    <w:p w:rsidR="00000000" w:rsidDel="00000000" w:rsidP="00000000" w:rsidRDefault="00000000" w:rsidRPr="00000000" w14:paraId="0000003C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Tiago Cardoso Ferreira</w:t>
      </w:r>
    </w:p>
    <w:p w:rsidR="00000000" w:rsidDel="00000000" w:rsidP="00000000" w:rsidRDefault="00000000" w:rsidRPr="00000000" w14:paraId="0000003D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Thalia Santos de Santana</w:t>
      </w:r>
    </w:p>
    <w:p w:rsidR="00000000" w:rsidDel="00000000" w:rsidP="00000000" w:rsidRDefault="00000000" w:rsidRPr="00000000" w14:paraId="0000003E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Adriano Honorato Braga (coordenador do projeto)</w:t>
      </w:r>
    </w:p>
    <w:p w:rsidR="00000000" w:rsidDel="00000000" w:rsidP="00000000" w:rsidRDefault="00000000" w:rsidRPr="00000000" w14:paraId="0000003F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Versão 1.0 – 2024</w:t>
      </w:r>
    </w:p>
    <w:p w:rsidR="00000000" w:rsidDel="00000000" w:rsidP="00000000" w:rsidRDefault="00000000" w:rsidRPr="00000000" w14:paraId="00000040">
      <w:pPr>
        <w:spacing w:line="312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12" w:lineRule="auto"/>
        <w:rPr>
          <w:rFonts w:ascii="Roboto" w:cs="Roboto" w:eastAsia="Roboto" w:hAnsi="Roboto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8200" cy="29527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322" r="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pacing w:line="312" w:lineRule="auto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Este documento está licenciado sob uma licença Creative Commons CC BY-NC-SA 4.0.</w:t>
      </w:r>
    </w:p>
    <w:p w:rsidR="00000000" w:rsidDel="00000000" w:rsidP="00000000" w:rsidRDefault="00000000" w:rsidRPr="00000000" w14:paraId="00000043">
      <w:pPr>
        <w:spacing w:line="312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Texto da licença: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https://creativecommons.org/licenses/by-nc-sa/4.0/deed.pt-br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first"/>
      <w:footerReference r:id="rId17" w:type="default"/>
      <w:footerReference r:id="rId1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</wp:posOffset>
          </wp:positionH>
          <wp:positionV relativeFrom="paragraph">
            <wp:posOffset>-152399</wp:posOffset>
          </wp:positionV>
          <wp:extent cx="1719263" cy="445088"/>
          <wp:effectExtent b="0" l="0" r="0" t="0"/>
          <wp:wrapSquare wrapText="bothSides" distB="114300" distT="114300" distL="114300" distR="114300"/>
          <wp:docPr id="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1719263" cy="445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4381500</wp:posOffset>
          </wp:positionH>
          <wp:positionV relativeFrom="paragraph">
            <wp:posOffset>-171449</wp:posOffset>
          </wp:positionV>
          <wp:extent cx="1352550" cy="485775"/>
          <wp:effectExtent b="0" l="0" r="0" t="0"/>
          <wp:wrapSquare wrapText="bothSides" distB="19050" distT="19050" distL="19050" distR="1905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26767" l="0" r="0" t="30162"/>
                  <a:stretch>
                    <a:fillRect/>
                  </a:stretch>
                </pic:blipFill>
                <pic:spPr>
                  <a:xfrm>
                    <a:off x="0" y="0"/>
                    <a:ext cx="135255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jc w:val="center"/>
      <w:rPr/>
    </w:pPr>
    <w:r w:rsidDel="00000000" w:rsidR="00000000" w:rsidRPr="00000000">
      <w:rPr>
        <w:rFonts w:ascii="Quicksand" w:cs="Quicksand" w:eastAsia="Quicksand" w:hAnsi="Quicksand"/>
        <w:sz w:val="36"/>
        <w:szCs w:val="36"/>
      </w:rPr>
      <w:drawing>
        <wp:inline distB="114300" distT="114300" distL="114300" distR="114300">
          <wp:extent cx="3199379" cy="814388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3199379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yu44JRTIxSQ" TargetMode="External"/><Relationship Id="rId10" Type="http://schemas.openxmlformats.org/officeDocument/2006/relationships/hyperlink" Target="https://www.youtube.com/watch?v=kveunrBU5UM" TargetMode="External"/><Relationship Id="rId13" Type="http://schemas.openxmlformats.org/officeDocument/2006/relationships/hyperlink" Target="https://wallky.com.br/tech/conversores/conversor-cor-rgb-hexadecimal.php" TargetMode="External"/><Relationship Id="rId12" Type="http://schemas.openxmlformats.org/officeDocument/2006/relationships/hyperlink" Target="https://tecnoblog.net/responde/o-que-sao-os-padroes-de-cores-rgb-e-cmyk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YgSjnLXM2Ts" TargetMode="External"/><Relationship Id="rId15" Type="http://schemas.openxmlformats.org/officeDocument/2006/relationships/hyperlink" Target="https://creativecommons.org/licenses/by-nc-sa/4.0/deed.pt-br" TargetMode="External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Quicksand-bold.ttf"/><Relationship Id="rId9" Type="http://schemas.openxmlformats.org/officeDocument/2006/relationships/font" Target="fonts/Quicksa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