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Вариант 13. Прогноз шума аэродинамического профиля</w:t>
      </w:r>
    </w:p>
    <w:p>
      <w:r>
        <w:rPr>
          <w:b/>
        </w:rPr>
        <w:t xml:space="preserve">Цель: </w:t>
      </w:r>
      <w:r>
        <w:t>Предсказать уровень шума аэродинамического профиля по геометрии и условиям потока.</w:t>
      </w:r>
    </w:p>
    <w:p>
      <w:r>
        <w:rPr>
          <w:b/>
        </w:rPr>
        <w:t xml:space="preserve">Источник: </w:t>
      </w:r>
      <w:r>
        <w:t>UCI Airfoil Self-Noise (https://archive.ics.uci.edu/dataset/291/airfoil+self+noise)</w:t>
      </w:r>
    </w:p>
    <w:p>
      <w:pPr>
        <w:pStyle w:val="Heading2"/>
      </w:pPr>
      <w:r>
        <w:t>Информация о данных</w:t>
      </w:r>
    </w:p>
    <w:p>
      <w:r>
        <w:t>Размер набора данных: 1503 строк и 6 столбцов.</w:t>
      </w:r>
    </w:p>
    <w:p>
      <w:pPr>
        <w:pStyle w:val="ListBullet"/>
      </w:pPr>
      <w:r>
        <w:t>`frequency` — частота колебаний.</w:t>
      </w:r>
    </w:p>
    <w:p>
      <w:pPr>
        <w:pStyle w:val="ListBullet"/>
      </w:pPr>
      <w:r>
        <w:t>`attack-angle` — угол атаки профиля.</w:t>
      </w:r>
    </w:p>
    <w:p>
      <w:pPr>
        <w:pStyle w:val="ListBullet"/>
      </w:pPr>
      <w:r>
        <w:t>`chord-length` — длина хорды профиля.</w:t>
      </w:r>
    </w:p>
    <w:p>
      <w:pPr>
        <w:pStyle w:val="ListBullet"/>
      </w:pPr>
      <w:r>
        <w:t>`free-stream-velocity` — скорость набегающего потока.</w:t>
      </w:r>
    </w:p>
    <w:p>
      <w:pPr>
        <w:pStyle w:val="ListBullet"/>
      </w:pPr>
      <w:r>
        <w:t>`suction-side-displacement-thickness` — толщина вытеснения на стороне разрежения.</w:t>
      </w:r>
    </w:p>
    <w:p>
      <w:pPr>
        <w:pStyle w:val="ListBullet"/>
      </w:pPr>
      <w:r>
        <w:t>`scaled-sound-pressure` — целевая переменная: уровень масштабированного звукового давления.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