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F18F01"/>
          <w:spacing w:val="40"/>
          <w:sz w:val="18"/>
          <w:szCs w:val="18"/>
        </w:rPr>
        <w:t xml:space="preserve">SAFE REPORT · PROTECTED SPECIES SECTION</w:t>
      </w:r>
    </w:p>
    <w:p>
      <w:pPr>
        <w:pStyle w:val="Heading1"/>
      </w:pPr>
      <w:r>
        <w:t xml:space="preserve">Quick start: putting the section together</w:t>
      </w:r>
    </w:p>
    <w:p>
      <w:pPr>
        <w:spacing w:after="200"/>
      </w:pPr>
      <w:r>
        <w:rPr>
          <w:color w:val="5A6C7D"/>
          <w:sz w:val="22"/>
          <w:szCs w:val="22"/>
        </w:rPr>
        <w:t xml:space="preserve">A six-step tool for building section 3.3.2 of the Pelagic SAFE report from the year's observer summaries. No software knowledge is needed; you review, judge and write, and the tool does the arithmetic and the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W w:type="dxa" w:w="900"/>
            <w:tcBorders>
              <w:top w:val="single" w:color="DDE7EE" w:sz="4"/>
              <w:left w:val="single" w:color="DDE7EE" w:sz="4"/>
              <w:bottom w:val="single" w:color="DDE7EE" w:sz="4"/>
              <w:right w:val="single" w:color="DDE7EE" w:sz="4"/>
            </w:tcBorders>
            <w:shd w:fill="21295C" w:color="auto" w:val="clear"/>
            <w:vAlign w:val="center"/>
          </w:tcPr>
          <w:p>
            <w:pPr>
              <w:jc w:val="center"/>
            </w:pPr>
            <w:r>
              <w:rPr>
                <w:rFonts w:ascii="Georgia" w:cs="Georgia" w:eastAsia="Georgia" w:hAnsi="Georgia"/>
                <w:color w:val="FFFFFF"/>
                <w:sz w:val="40"/>
                <w:szCs w:val="40"/>
              </w:rPr>
              <w:t xml:space="preserve">1</w:t>
            </w:r>
          </w:p>
        </w:tc>
        <w:tc>
          <w:tcPr>
            <w:tcW w:type="dxa" w:w="2600"/>
            <w:tcBorders>
              <w:top w:val="single" w:color="DDE7EE" w:sz="4"/>
              <w:left w:val="single" w:color="DDE7EE" w:sz="4"/>
              <w:bottom w:val="single" w:color="DDE7EE" w:sz="4"/>
              <w:right w:val="single" w:color="DDE7EE" w:sz="4"/>
            </w:tcBorders>
            <w:tcMar>
              <w:top w:type="dxa" w:w="80"/>
              <w:left w:type="dxa" w:w="120"/>
              <w:bottom w:type="dxa" w:w="80"/>
              <w:right w:type="dxa" w:w="120"/>
            </w:tcMar>
          </w:tcPr>
          <w:p>
            <w:r>
              <w:rPr>
                <w:b/>
                <w:bCs/>
                <w:color w:val="21295C"/>
                <w:sz w:val="22"/>
                <w:szCs w:val="22"/>
              </w:rPr>
              <w:t xml:space="preserve">Load this year's data</w:t>
            </w:r>
          </w:p>
        </w:tc>
        <w:tc>
          <w:tcPr>
            <w:tcW w:type="dxa" w:w="5860"/>
            <w:tcBorders>
              <w:top w:val="single" w:color="DDE7EE" w:sz="4"/>
              <w:left w:val="single" w:color="DDE7EE" w:sz="4"/>
              <w:bottom w:val="single" w:color="DDE7EE" w:sz="4"/>
              <w:right w:val="single" w:color="DDE7EE" w:sz="4"/>
            </w:tcBorders>
            <w:tcMar>
              <w:top w:type="dxa" w:w="80"/>
              <w:left w:type="dxa" w:w="120"/>
              <w:bottom w:type="dxa" w:w="80"/>
              <w:right w:type="dxa" w:w="120"/>
            </w:tcMar>
          </w:tcPr>
          <w:p>
            <w:r>
              <w:rPr>
                <w:color w:val="333333"/>
                <w:sz w:val="20"/>
                <w:szCs w:val="20"/>
              </w:rPr>
              <w:t xml:space="preserve">PIFSC emails you one file, pipeline_output.json. Open the app, go to step 1, click "Load this year's file" and choose it. Every page updates. (Until then the app shows example data.)</w:t>
            </w:r>
          </w:p>
        </w:tc>
      </w:tr>
      <w:tr>
        <w:tc>
          <w:tcPr>
            <w:tcW w:type="dxa" w:w="900"/>
            <w:tcBorders>
              <w:top w:val="single" w:color="DDE7EE" w:sz="4"/>
              <w:left w:val="single" w:color="DDE7EE" w:sz="4"/>
              <w:bottom w:val="single" w:color="DDE7EE" w:sz="4"/>
              <w:right w:val="single" w:color="DDE7EE" w:sz="4"/>
            </w:tcBorders>
            <w:shd w:fill="21295C" w:color="auto" w:val="clear"/>
            <w:vAlign w:val="center"/>
          </w:tcPr>
          <w:p>
            <w:pPr>
              <w:jc w:val="center"/>
            </w:pPr>
            <w:r>
              <w:rPr>
                <w:rFonts w:ascii="Georgia" w:cs="Georgia" w:eastAsia="Georgia" w:hAnsi="Georgia"/>
                <w:color w:val="FFFFFF"/>
                <w:sz w:val="40"/>
                <w:szCs w:val="40"/>
              </w:rPr>
              <w:t xml:space="preserve">2</w:t>
            </w:r>
          </w:p>
        </w:tc>
        <w:tc>
          <w:tcPr>
            <w:tcW w:type="dxa" w:w="2600"/>
            <w:tcBorders>
              <w:top w:val="single" w:color="DDE7EE" w:sz="4"/>
              <w:left w:val="single" w:color="DDE7EE" w:sz="4"/>
              <w:bottom w:val="single" w:color="DDE7EE" w:sz="4"/>
              <w:right w:val="single" w:color="DDE7EE" w:sz="4"/>
            </w:tcBorders>
            <w:tcMar>
              <w:top w:type="dxa" w:w="80"/>
              <w:left w:type="dxa" w:w="120"/>
              <w:bottom w:type="dxa" w:w="80"/>
              <w:right w:type="dxa" w:w="120"/>
            </w:tcMar>
          </w:tcPr>
          <w:p>
            <w:r>
              <w:rPr>
                <w:b/>
                <w:bCs/>
                <w:color w:val="21295C"/>
                <w:sz w:val="22"/>
                <w:szCs w:val="22"/>
              </w:rPr>
              <w:t xml:space="preserve">See which species look unusual</w:t>
            </w:r>
          </w:p>
        </w:tc>
        <w:tc>
          <w:tcPr>
            <w:tcW w:type="dxa" w:w="5860"/>
            <w:tcBorders>
              <w:top w:val="single" w:color="DDE7EE" w:sz="4"/>
              <w:left w:val="single" w:color="DDE7EE" w:sz="4"/>
              <w:bottom w:val="single" w:color="DDE7EE" w:sz="4"/>
              <w:right w:val="single" w:color="DDE7EE" w:sz="4"/>
            </w:tcBorders>
            <w:tcMar>
              <w:top w:type="dxa" w:w="80"/>
              <w:left w:type="dxa" w:w="120"/>
              <w:bottom w:type="dxa" w:w="80"/>
              <w:right w:type="dxa" w:w="120"/>
            </w:tcMar>
          </w:tcPr>
          <w:p>
            <w:r>
              <w:rPr>
                <w:color w:val="333333"/>
                <w:sz w:val="20"/>
                <w:szCs w:val="20"/>
              </w:rPr>
              <w:t xml:space="preserve">Each species card shows this year's count against a typical year. Orange = flagged as unusually high. Click a card for a plain-language reading of what the numbers say.</w:t>
            </w:r>
          </w:p>
        </w:tc>
      </w:tr>
      <w:tr>
        <w:tc>
          <w:tcPr>
            <w:tcW w:type="dxa" w:w="900"/>
            <w:tcBorders>
              <w:top w:val="single" w:color="DDE7EE" w:sz="4"/>
              <w:left w:val="single" w:color="DDE7EE" w:sz="4"/>
              <w:bottom w:val="single" w:color="DDE7EE" w:sz="4"/>
              <w:right w:val="single" w:color="DDE7EE" w:sz="4"/>
            </w:tcBorders>
            <w:shd w:fill="21295C" w:color="auto" w:val="clear"/>
            <w:vAlign w:val="center"/>
          </w:tcPr>
          <w:p>
            <w:pPr>
              <w:jc w:val="center"/>
            </w:pPr>
            <w:r>
              <w:rPr>
                <w:rFonts w:ascii="Georgia" w:cs="Georgia" w:eastAsia="Georgia" w:hAnsi="Georgia"/>
                <w:color w:val="FFFFFF"/>
                <w:sz w:val="40"/>
                <w:szCs w:val="40"/>
              </w:rPr>
              <w:t xml:space="preserve">3</w:t>
            </w:r>
          </w:p>
        </w:tc>
        <w:tc>
          <w:tcPr>
            <w:tcW w:type="dxa" w:w="2600"/>
            <w:tcBorders>
              <w:top w:val="single" w:color="DDE7EE" w:sz="4"/>
              <w:left w:val="single" w:color="DDE7EE" w:sz="4"/>
              <w:bottom w:val="single" w:color="DDE7EE" w:sz="4"/>
              <w:right w:val="single" w:color="DDE7EE" w:sz="4"/>
            </w:tcBorders>
            <w:tcMar>
              <w:top w:type="dxa" w:w="80"/>
              <w:left w:type="dxa" w:w="120"/>
              <w:bottom w:type="dxa" w:w="80"/>
              <w:right w:type="dxa" w:w="120"/>
            </w:tcMar>
          </w:tcPr>
          <w:p>
            <w:r>
              <w:rPr>
                <w:b/>
                <w:bCs/>
                <w:color w:val="21295C"/>
                <w:sz w:val="22"/>
                <w:szCs w:val="22"/>
              </w:rPr>
              <w:t xml:space="preserve">Answer the two expert questions</w:t>
            </w:r>
          </w:p>
        </w:tc>
        <w:tc>
          <w:tcPr>
            <w:tcW w:type="dxa" w:w="5860"/>
            <w:tcBorders>
              <w:top w:val="single" w:color="DDE7EE" w:sz="4"/>
              <w:left w:val="single" w:color="DDE7EE" w:sz="4"/>
              <w:bottom w:val="single" w:color="DDE7EE" w:sz="4"/>
              <w:right w:val="single" w:color="DDE7EE" w:sz="4"/>
            </w:tcBorders>
            <w:tcMar>
              <w:top w:type="dxa" w:w="80"/>
              <w:left w:type="dxa" w:w="120"/>
              <w:bottom w:type="dxa" w:w="80"/>
              <w:right w:type="dxa" w:w="120"/>
            </w:tcMar>
          </w:tcPr>
          <w:p>
            <w:r>
              <w:rPr>
                <w:color w:val="333333"/>
                <w:sz w:val="20"/>
                <w:szCs w:val="20"/>
              </w:rPr>
              <w:t xml:space="preserve">For each flagged species: Did the fleet change gear or method this year? Is this a strong year class? Click Yes / No / Not sure. The checklist then names the most likely explanation and writes it into the species paragraph.</w:t>
            </w:r>
          </w:p>
        </w:tc>
      </w:tr>
      <w:tr>
        <w:tc>
          <w:tcPr>
            <w:tcW w:type="dxa" w:w="900"/>
            <w:tcBorders>
              <w:top w:val="single" w:color="DDE7EE" w:sz="4"/>
              <w:left w:val="single" w:color="DDE7EE" w:sz="4"/>
              <w:bottom w:val="single" w:color="DDE7EE" w:sz="4"/>
              <w:right w:val="single" w:color="DDE7EE" w:sz="4"/>
            </w:tcBorders>
            <w:shd w:fill="21295C" w:color="auto" w:val="clear"/>
            <w:vAlign w:val="center"/>
          </w:tcPr>
          <w:p>
            <w:pPr>
              <w:jc w:val="center"/>
            </w:pPr>
            <w:r>
              <w:rPr>
                <w:rFonts w:ascii="Georgia" w:cs="Georgia" w:eastAsia="Georgia" w:hAnsi="Georgia"/>
                <w:color w:val="FFFFFF"/>
                <w:sz w:val="40"/>
                <w:szCs w:val="40"/>
              </w:rPr>
              <w:t xml:space="preserve">4</w:t>
            </w:r>
          </w:p>
        </w:tc>
        <w:tc>
          <w:tcPr>
            <w:tcW w:type="dxa" w:w="2600"/>
            <w:tcBorders>
              <w:top w:val="single" w:color="DDE7EE" w:sz="4"/>
              <w:left w:val="single" w:color="DDE7EE" w:sz="4"/>
              <w:bottom w:val="single" w:color="DDE7EE" w:sz="4"/>
              <w:right w:val="single" w:color="DDE7EE" w:sz="4"/>
            </w:tcBorders>
            <w:tcMar>
              <w:top w:type="dxa" w:w="80"/>
              <w:left w:type="dxa" w:w="120"/>
              <w:bottom w:type="dxa" w:w="80"/>
              <w:right w:type="dxa" w:w="120"/>
            </w:tcMar>
          </w:tcPr>
          <w:p>
            <w:r>
              <w:rPr>
                <w:b/>
                <w:bCs/>
                <w:color w:val="21295C"/>
                <w:sz w:val="22"/>
                <w:szCs w:val="22"/>
              </w:rPr>
              <w:t xml:space="preserve">Check the report tables</w:t>
            </w:r>
          </w:p>
        </w:tc>
        <w:tc>
          <w:tcPr>
            <w:tcW w:type="dxa" w:w="5860"/>
            <w:tcBorders>
              <w:top w:val="single" w:color="DDE7EE" w:sz="4"/>
              <w:left w:val="single" w:color="DDE7EE" w:sz="4"/>
              <w:bottom w:val="single" w:color="DDE7EE" w:sz="4"/>
              <w:right w:val="single" w:color="DDE7EE" w:sz="4"/>
            </w:tcBorders>
            <w:tcMar>
              <w:top w:type="dxa" w:w="80"/>
              <w:left w:type="dxa" w:w="120"/>
              <w:bottom w:type="dxa" w:w="80"/>
              <w:right w:type="dxa" w:w="120"/>
            </w:tcMar>
          </w:tcPr>
          <w:p>
            <w:r>
              <w:rPr>
                <w:color w:val="333333"/>
                <w:sz w:val="20"/>
                <w:szCs w:val="20"/>
              </w:rPr>
              <w:t xml:space="preserve">Tables 2, 2b and 2c exactly as they will print. Hover a column heading to see what it means. If a number looks wrong, tell PIFSC rather than editing it.</w:t>
            </w:r>
          </w:p>
        </w:tc>
      </w:tr>
      <w:tr>
        <w:tc>
          <w:tcPr>
            <w:tcW w:type="dxa" w:w="900"/>
            <w:tcBorders>
              <w:top w:val="single" w:color="DDE7EE" w:sz="4"/>
              <w:left w:val="single" w:color="DDE7EE" w:sz="4"/>
              <w:bottom w:val="single" w:color="DDE7EE" w:sz="4"/>
              <w:right w:val="single" w:color="DDE7EE" w:sz="4"/>
            </w:tcBorders>
            <w:shd w:fill="21295C" w:color="auto" w:val="clear"/>
            <w:vAlign w:val="center"/>
          </w:tcPr>
          <w:p>
            <w:pPr>
              <w:jc w:val="center"/>
            </w:pPr>
            <w:r>
              <w:rPr>
                <w:rFonts w:ascii="Georgia" w:cs="Georgia" w:eastAsia="Georgia" w:hAnsi="Georgia"/>
                <w:color w:val="FFFFFF"/>
                <w:sz w:val="40"/>
                <w:szCs w:val="40"/>
              </w:rPr>
              <w:t xml:space="preserve">5</w:t>
            </w:r>
          </w:p>
        </w:tc>
        <w:tc>
          <w:tcPr>
            <w:tcW w:type="dxa" w:w="2600"/>
            <w:tcBorders>
              <w:top w:val="single" w:color="DDE7EE" w:sz="4"/>
              <w:left w:val="single" w:color="DDE7EE" w:sz="4"/>
              <w:bottom w:val="single" w:color="DDE7EE" w:sz="4"/>
              <w:right w:val="single" w:color="DDE7EE" w:sz="4"/>
            </w:tcBorders>
            <w:tcMar>
              <w:top w:type="dxa" w:w="80"/>
              <w:left w:type="dxa" w:w="120"/>
              <w:bottom w:type="dxa" w:w="80"/>
              <w:right w:type="dxa" w:w="120"/>
            </w:tcMar>
          </w:tcPr>
          <w:p>
            <w:r>
              <w:rPr>
                <w:b/>
                <w:bCs/>
                <w:color w:val="21295C"/>
                <w:sz w:val="22"/>
                <w:szCs w:val="22"/>
              </w:rPr>
              <w:t xml:space="preserve">Edit the species paragraphs</w:t>
            </w:r>
          </w:p>
        </w:tc>
        <w:tc>
          <w:tcPr>
            <w:tcW w:type="dxa" w:w="5860"/>
            <w:tcBorders>
              <w:top w:val="single" w:color="DDE7EE" w:sz="4"/>
              <w:left w:val="single" w:color="DDE7EE" w:sz="4"/>
              <w:bottom w:val="single" w:color="DDE7EE" w:sz="4"/>
              <w:right w:val="single" w:color="DDE7EE" w:sz="4"/>
            </w:tcBorders>
            <w:tcMar>
              <w:top w:type="dxa" w:w="80"/>
              <w:left w:type="dxa" w:w="120"/>
              <w:bottom w:type="dxa" w:w="80"/>
              <w:right w:type="dxa" w:w="120"/>
            </w:tcMar>
          </w:tcPr>
          <w:p>
            <w:r>
              <w:rPr>
                <w:color w:val="333333"/>
                <w:sz w:val="20"/>
                <w:szCs w:val="20"/>
              </w:rPr>
              <w:t xml:space="preserve">Every species has a draft paragraph. Flagged species come first. Edit freely — add what you know about the fishery, the ocean and the population.</w:t>
            </w:r>
          </w:p>
        </w:tc>
      </w:tr>
      <w:tr>
        <w:tc>
          <w:tcPr>
            <w:tcW w:type="dxa" w:w="900"/>
            <w:tcBorders>
              <w:top w:val="single" w:color="DDE7EE" w:sz="4"/>
              <w:left w:val="single" w:color="DDE7EE" w:sz="4"/>
              <w:bottom w:val="single" w:color="DDE7EE" w:sz="4"/>
              <w:right w:val="single" w:color="DDE7EE" w:sz="4"/>
            </w:tcBorders>
            <w:shd w:fill="21295C" w:color="auto" w:val="clear"/>
            <w:vAlign w:val="center"/>
          </w:tcPr>
          <w:p>
            <w:pPr>
              <w:jc w:val="center"/>
            </w:pPr>
            <w:r>
              <w:rPr>
                <w:rFonts w:ascii="Georgia" w:cs="Georgia" w:eastAsia="Georgia" w:hAnsi="Georgia"/>
                <w:color w:val="FFFFFF"/>
                <w:sz w:val="40"/>
                <w:szCs w:val="40"/>
              </w:rPr>
              <w:t xml:space="preserve">6</w:t>
            </w:r>
          </w:p>
        </w:tc>
        <w:tc>
          <w:tcPr>
            <w:tcW w:type="dxa" w:w="2600"/>
            <w:tcBorders>
              <w:top w:val="single" w:color="DDE7EE" w:sz="4"/>
              <w:left w:val="single" w:color="DDE7EE" w:sz="4"/>
              <w:bottom w:val="single" w:color="DDE7EE" w:sz="4"/>
              <w:right w:val="single" w:color="DDE7EE" w:sz="4"/>
            </w:tcBorders>
            <w:tcMar>
              <w:top w:type="dxa" w:w="80"/>
              <w:left w:type="dxa" w:w="120"/>
              <w:bottom w:type="dxa" w:w="80"/>
              <w:right w:type="dxa" w:w="120"/>
            </w:tcMar>
          </w:tcPr>
          <w:p>
            <w:r>
              <w:rPr>
                <w:b/>
                <w:bCs/>
                <w:color w:val="21295C"/>
                <w:sz w:val="22"/>
                <w:szCs w:val="22"/>
              </w:rPr>
              <w:t xml:space="preserve">Create the report section</w:t>
            </w:r>
          </w:p>
        </w:tc>
        <w:tc>
          <w:tcPr>
            <w:tcW w:type="dxa" w:w="5860"/>
            <w:tcBorders>
              <w:top w:val="single" w:color="DDE7EE" w:sz="4"/>
              <w:left w:val="single" w:color="DDE7EE" w:sz="4"/>
              <w:bottom w:val="single" w:color="DDE7EE" w:sz="4"/>
              <w:right w:val="single" w:color="DDE7EE" w:sz="4"/>
            </w:tcBorders>
            <w:tcMar>
              <w:top w:type="dxa" w:w="80"/>
              <w:left w:type="dxa" w:w="120"/>
              <w:bottom w:type="dxa" w:w="80"/>
              <w:right w:type="dxa" w:w="120"/>
            </w:tcMar>
          </w:tcPr>
          <w:p>
            <w:r>
              <w:rPr>
                <w:color w:val="333333"/>
                <w:sz w:val="20"/>
                <w:szCs w:val="20"/>
              </w:rPr>
              <w:t xml:space="preserve">Click "Create Word document" or "Create Google Doc". You get section 3.3.2 with the key findings, your paragraphs, the tables and a methods note.</w:t>
            </w:r>
          </w:p>
        </w:tc>
      </w:tr>
    </w:tbl>
    <w:p>
      <w:pPr>
        <w:pStyle w:val="Heading2"/>
      </w:pPr>
      <w:r>
        <w:t xml:space="preserve">Three things to know</w:t>
      </w:r>
    </w:p>
    <w:p>
      <w:pPr>
        <w:pStyle w:val="ListParagraph"/>
        <w:numPr>
          <w:ilvl w:val="0"/>
          <w:numId w:val="2"/>
        </w:numPr>
        <w:spacing w:after="100"/>
      </w:pPr>
      <w:r>
        <w:rPr>
          <w:color w:val="333333"/>
          <w:sz w:val="22"/>
          <w:szCs w:val="22"/>
        </w:rPr>
        <w:t xml:space="preserve">The flags. High means this year's count is unusually high compared with that species' own past years and needs explaining in the report. Typical means within the normal range. Low means unusually few.</w:t>
      </w:r>
    </w:p>
    <w:p>
      <w:pPr>
        <w:pStyle w:val="ListParagraph"/>
        <w:numPr>
          <w:ilvl w:val="0"/>
          <w:numId w:val="2"/>
        </w:numPr>
        <w:spacing w:after="100"/>
      </w:pPr>
      <w:r>
        <w:rPr>
          <w:color w:val="333333"/>
          <w:sz w:val="22"/>
          <w:szCs w:val="22"/>
        </w:rPr>
        <w:t xml:space="preserve">The numbers are not yours to edit. Every figure traces back to the summary tables. If something looks wrong, note the species and table and send it to PIFSC; they re-run the pipeline and send a new file.</w:t>
      </w:r>
    </w:p>
    <w:p>
      <w:pPr>
        <w:pStyle w:val="ListParagraph"/>
        <w:numPr>
          <w:ilvl w:val="0"/>
          <w:numId w:val="2"/>
        </w:numPr>
        <w:spacing w:after="100"/>
      </w:pPr>
      <w:r>
        <w:rPr>
          <w:color w:val="333333"/>
          <w:sz w:val="22"/>
          <w:szCs w:val="22"/>
        </w:rPr>
        <w:t xml:space="preserve">Technical details are hidden by default. The "Show technical details" switch at the bottom of the left-hand menu reveals the statistics for analysts. Pages A and B (statistics and take-limit comparison) are optional.</w:t>
      </w:r>
    </w:p>
    <w:p>
      <w:pPr>
        <w:pStyle w:val="Heading2"/>
      </w:pPr>
      <w:r>
        <w:t xml:space="preserve">Who does what</w:t>
      </w:r>
    </w:p>
    <w:p>
      <w:pPr>
        <w:pStyle w:val="ListParagraph"/>
        <w:numPr>
          <w:ilvl w:val="0"/>
          <w:numId w:val="2"/>
        </w:numPr>
        <w:spacing w:after="100"/>
      </w:pPr>
      <w:r>
        <w:rPr>
          <w:color w:val="333333"/>
          <w:sz w:val="22"/>
          <w:szCs w:val="22"/>
        </w:rPr>
        <w:t xml:space="preserve">PIFSC: runs the data pipeline each year and sends the pipeline_output.json file. Observer records never leave NOAA — the file holds only yearly summaries.</w:t>
      </w:r>
    </w:p>
    <w:p>
      <w:pPr>
        <w:pStyle w:val="ListParagraph"/>
        <w:numPr>
          <w:ilvl w:val="0"/>
          <w:numId w:val="2"/>
        </w:numPr>
        <w:spacing w:after="100"/>
      </w:pPr>
      <w:r>
        <w:rPr>
          <w:color w:val="333333"/>
          <w:sz w:val="22"/>
          <w:szCs w:val="22"/>
        </w:rPr>
        <w:t xml:space="preserve">Council staff: load the file, review the flags, answer the expert questions, edit the paragraphs, create the document.</w:t>
      </w:r>
    </w:p>
    <w:p>
      <w:pPr>
        <w:pStyle w:val="ListParagraph"/>
        <w:numPr>
          <w:ilvl w:val="0"/>
          <w:numId w:val="2"/>
        </w:numPr>
        <w:spacing w:after="100"/>
      </w:pPr>
      <w:r>
        <w:rPr>
          <w:color w:val="333333"/>
          <w:sz w:val="22"/>
          <w:szCs w:val="22"/>
        </w:rPr>
        <w:t xml:space="preserve">Neptune / statistics team: maintains the pipeline and the method notes; validates the placeholder values before Council use.</w:t>
      </w:r>
    </w:p>
    <w:p>
      <w:pPr>
        <w:spacing w:after="0"/>
      </w:pPr>
      <w:r>
        <w:rPr>
          <w:i/>
          <w:iCs/>
          <w:color w:val="5A6C7D"/>
          <w:sz w:val="22"/>
          <w:szCs w:val="22"/>
        </w:rPr>
        <w:t xml:space="preserve">Glossary: the last item in the left-hand menu defines every term used in the tool in plain language.</w:t>
      </w:r>
    </w:p>
    <w:sectPr>
      <w:footerReference w:type="default" r:id="rId6"/>
      <w:pgSz w:w="12240" w:h="15840" w:orient="portrait"/>
      <w:pgMar w:top="1100" w:right="1440" w:bottom="10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drawing>
        <wp:inline distT="0" distB="0" distL="0" distR="0">
          <wp:extent cx="8191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19150" cy="20955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80"/>
    </w:pPr>
    <w:rPr>
      <w:rFonts w:ascii="Calibri" w:cs="Calibri" w:eastAsia="Calibri" w:hAnsi="Calibri"/>
      <w:b/>
      <w:bCs/>
      <w:color w:val="21295C"/>
      <w:sz w:val="44"/>
      <w:szCs w:val="44"/>
    </w:rPr>
  </w:style>
  <w:style w:type="paragraph" w:styleId="Heading2">
    <w:name w:val="Heading 2"/>
    <w:basedOn w:val="Normal"/>
    <w:next w:val="Normal"/>
    <w:qFormat/>
    <w:pPr>
      <w:spacing w:before="240" w:after="100"/>
    </w:pPr>
    <w:rPr>
      <w:rFonts w:ascii="Calibri" w:cs="Calibri" w:eastAsia="Calibri" w:hAnsi="Calibri"/>
      <w:b/>
      <w:bCs/>
      <w:color w:val="2129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5fdfd20cb224a0479528ec40d2d334d4b8229528.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 start — Protected Species Decision Support</dc:title>
  <dc:creator>Neptune</dc:creator>
  <cp:lastModifiedBy>Un-named</cp:lastModifiedBy>
  <cp:revision>1</cp:revision>
  <dcterms:created xsi:type="dcterms:W3CDTF">2026-09-25T20:36:03.794Z</dcterms:created>
  <dcterms:modified xsi:type="dcterms:W3CDTF">2026-09-25T20:36:03.794Z</dcterms:modified>
</cp:coreProperties>
</file>

<file path=docProps/custom.xml><?xml version="1.0" encoding="utf-8"?>
<Properties xmlns="http://schemas.openxmlformats.org/officeDocument/2006/custom-properties" xmlns:vt="http://schemas.openxmlformats.org/officeDocument/2006/docPropsVTypes"/>
</file>