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3.3.2 Protected Species Interactions — Hawaii Longline Fisheries, 2025</w:t>
      </w:r>
    </w:p>
    <w:p>
      <w:pPr>
        <w:spacing w:after="120"/>
      </w:pPr>
      <w:r>
        <w:rPr>
          <w:i/>
          <w:iCs/>
          <w:color w:val="5A6C7D"/>
          <w:sz w:val="18"/>
          <w:szCs w:val="18"/>
        </w:rPr>
        <w:t xml:space="preserve">Generated 2026-09-25 from the automated SAFE pipeline (test mode). Synthetic aggregated test data calibrated to ps_monitoring_tables_AI.xlsx; ITS and context tables are illustrative. Narratives are drafts requiring analyst review.</w:t>
      </w:r>
    </w:p>
    <w:p>
      <w:pPr>
        <w:pStyle w:val="Heading2"/>
      </w:pPr>
      <w:r>
        <w:t xml:space="preserve">3.3.2.1 Data aggregation and key findings</w:t>
      </w:r>
    </w:p>
    <w:p>
      <w:pPr>
        <w:spacing w:after="120"/>
      </w:pPr>
      <w:r>
        <w:t xml:space="preserve">This chapter aggregates the results of the three summary tables (Tables 2, 2b, 2c), the Bayesian anomaly check, the incidental take statement (ITS) tracker and the multi-disciplinary context reviewed by the working group, to characterise protected-species interactions in the 2025 fishing year. Anomalies are judged with an OR gate (OR gate: robust_anomaly &gt;= 2 OR percentile &gt;= 90 OR Bayesian tail prob &lt; alpha).</w:t>
      </w:r>
    </w:p>
    <w:p>
      <w:pPr>
        <w:pStyle w:val="Heading3"/>
      </w:pPr>
      <w:r>
        <w:t xml:space="preserve">Key findings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 of 6 monitored species is flagged High in 2025: Loggerhead turtle (39 vs median 16; gates: percentile, bayes).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 of 6 species are above their historical median and 6 show an increasing long-run slope; the interaction-rate anomaly agrees in sign with the count anomaly for 6 of 6, so most of the change is not an artefact of effort.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current count falls outside the Gamma-Poisson posterior predictive 90% interval for Oceanic whitetip shark (below), Loggerhead turtle (above); every other current count sits inside its interval.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Interaction centroids moved more than 250 km for Oceanic whitetip shark (808 km), Shortfin mako shark (348 km), Laysan albatross (297 km); 12.5% of leatherback turtle interactions fell outside the historical 90% area. Spatial redistribution, not abundance, is the leading explanation where the rate anomaly is modest.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Fleet selection anomalies (interaction-set environment minus fleet-wide environment) are at historical extremes for Chlorophyll-a (2 species), Distance to seamount (1 species), SST (4 species), Sea-level anomaly (1 species), indicating the fleet fished a different habitat envelope than usual rather than the ocean alone changing.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Fleet effort share changed most in the Latitude: south of 20°N stratum (+17.6 points; Low bigeye CPUE north; targeting yellowfin).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ITS running-sum alert; Loggerhead turtle stands at 84% of its window limit after 5 of 5 years.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Causal diagnosis for Loggerhead turtle cannot be closed from the data alone; it needs expert input on gear/method change and year-class strength.</w:t>
      </w:r>
    </w:p>
    <w:p>
      <w:pPr>
        <w:pStyle w:val="Heading3"/>
      </w:pPr>
      <w:r>
        <w:t xml:space="preserve">Cross-species aggregation</w:t>
      </w:r>
    </w:p>
    <w:p>
      <w:pPr>
        <w:spacing w:before="160" w:after="80"/>
      </w:pPr>
      <w:r>
        <w:rPr>
          <w:b/>
          <w:bCs/>
          <w:color w:val="21295C"/>
          <w:sz w:val="19"/>
          <w:szCs w:val="19"/>
        </w:rPr>
        <w:t xml:space="preserve">Aggregation of anomaly evidence by species, 2025.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8"/>
        <w:gridCol w:w="1258"/>
        <w:gridCol w:w="1258"/>
        <w:gridCol w:w="1258"/>
        <w:gridCol w:w="1258"/>
        <w:gridCol w:w="1258"/>
        <w:gridCol w:w="1258"/>
        <w:gridCol w:w="1258"/>
        <w:gridCol w:w="1258"/>
        <w:gridCol w:w="1258"/>
        <w:gridCol w:w="1260"/>
      </w:tblGrid>
      <w:tr>
        <w:trPr>
          <w:tblHeader/>
        </w:trPr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Species</w:t>
            </w:r>
          </w:p>
        </w:tc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Flag</w:t>
            </w:r>
          </w:p>
        </w:tc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Gates fired</w:t>
            </w:r>
          </w:p>
        </w:tc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Count (percentile)</w:t>
            </w:r>
          </w:p>
        </w:tc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Rate anomaly</w:t>
            </w:r>
          </w:p>
        </w:tc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Trend</w:t>
            </w:r>
          </w:p>
        </w:tc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Centroid shift</w:t>
            </w:r>
          </w:p>
        </w:tc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Predictive 90%</w:t>
            </w:r>
          </w:p>
        </w:tc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Ocean extremes at sets</w:t>
            </w:r>
          </w:p>
        </w:tc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ITS window used</w:t>
            </w:r>
          </w:p>
        </w:tc>
        <w:tc>
          <w:tcPr>
            <w:tcW w:type="dxa" w:w="1260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Causal branch</w:t>
            </w:r>
          </w:p>
        </w:tc>
      </w:tr>
      <w:tr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Black-footed albatross</w:t>
            </w:r>
          </w:p>
        </w:tc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Typical</w:t>
            </w:r>
          </w:p>
        </w:tc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none</w:t>
            </w:r>
          </w:p>
        </w:tc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34 (P63)</w:t>
            </w:r>
          </w:p>
        </w:tc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+0.32 (P68)</w:t>
            </w:r>
          </w:p>
        </w:tc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-0.0%/yr</w:t>
            </w:r>
          </w:p>
        </w:tc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127 km</w:t>
            </w:r>
          </w:p>
        </w:tc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5–60</w:t>
            </w:r>
          </w:p>
        </w:tc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none</w:t>
            </w:r>
          </w:p>
        </w:tc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n/a</w:t>
            </w:r>
          </w:p>
        </w:tc>
        <w:tc>
          <w:tcPr>
            <w:tcW w:type="dxa" w:w="1260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not applicable (within expectation)</w:t>
            </w:r>
          </w:p>
        </w:tc>
      </w:tr>
      <w:tr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Laysan albatross</w:t>
            </w:r>
          </w:p>
        </w:tc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Typical</w:t>
            </w:r>
          </w:p>
        </w:tc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none</w:t>
            </w:r>
          </w:p>
        </w:tc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54 (P84)</w:t>
            </w:r>
          </w:p>
        </w:tc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+1.04 (P90)</w:t>
            </w:r>
          </w:p>
        </w:tc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+46.6%/yr</w:t>
            </w:r>
          </w:p>
        </w:tc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297 km</w:t>
            </w:r>
          </w:p>
        </w:tc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7–78</w:t>
            </w:r>
          </w:p>
        </w:tc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none</w:t>
            </w:r>
          </w:p>
        </w:tc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n/a</w:t>
            </w:r>
          </w:p>
        </w:tc>
        <w:tc>
          <w:tcPr>
            <w:tcW w:type="dxa" w:w="1260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not applicable (within expectation)</w:t>
            </w:r>
          </w:p>
        </w:tc>
      </w:tr>
      <w:tr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Oceanic whitetip shark</w:t>
            </w:r>
          </w:p>
        </w:tc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Typical</w:t>
            </w:r>
          </w:p>
        </w:tc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none</w:t>
            </w:r>
          </w:p>
        </w:tc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3 (P16)</w:t>
            </w:r>
          </w:p>
        </w:tc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-0.66 (P16)</w:t>
            </w:r>
          </w:p>
        </w:tc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-19.8%/yr</w:t>
            </w:r>
          </w:p>
        </w:tc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808 km</w:t>
            </w:r>
          </w:p>
        </w:tc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4–128</w:t>
            </w:r>
          </w:p>
        </w:tc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none</w:t>
            </w:r>
          </w:p>
        </w:tc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58%</w:t>
            </w:r>
          </w:p>
        </w:tc>
        <w:tc>
          <w:tcPr>
            <w:tcW w:type="dxa" w:w="1260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not applicable (within expectation)</w:t>
            </w:r>
          </w:p>
        </w:tc>
      </w:tr>
      <w:tr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Shortfin mako shark</w:t>
            </w:r>
          </w:p>
        </w:tc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Typical</w:t>
            </w:r>
          </w:p>
        </w:tc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none</w:t>
            </w:r>
          </w:p>
        </w:tc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1121 (P63)</w:t>
            </w:r>
          </w:p>
        </w:tc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+0.75 (P74)</w:t>
            </w:r>
          </w:p>
        </w:tc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+2.0%/yr</w:t>
            </w:r>
          </w:p>
        </w:tc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348 km</w:t>
            </w:r>
          </w:p>
        </w:tc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505–1594</w:t>
            </w:r>
          </w:p>
        </w:tc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Distance to seamount ↑</w:t>
            </w:r>
          </w:p>
        </w:tc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n/a</w:t>
            </w:r>
          </w:p>
        </w:tc>
        <w:tc>
          <w:tcPr>
            <w:tcW w:type="dxa" w:w="1260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not applicable (within expectation)</w:t>
            </w:r>
          </w:p>
        </w:tc>
      </w:tr>
      <w:tr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Leatherback turtle</w:t>
            </w:r>
          </w:p>
        </w:tc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Typical</w:t>
            </w:r>
          </w:p>
        </w:tc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none</w:t>
            </w:r>
          </w:p>
        </w:tc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9 (P68)</w:t>
            </w:r>
          </w:p>
        </w:tc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+1.06 (P68)</w:t>
            </w:r>
          </w:p>
        </w:tc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+0.5%/yr</w:t>
            </w:r>
          </w:p>
        </w:tc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224 km</w:t>
            </w:r>
          </w:p>
        </w:tc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1–16</w:t>
            </w:r>
          </w:p>
        </w:tc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none</w:t>
            </w:r>
          </w:p>
        </w:tc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69%</w:t>
            </w:r>
          </w:p>
        </w:tc>
        <w:tc>
          <w:tcPr>
            <w:tcW w:type="dxa" w:w="1260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not applicable (within expectation)</w:t>
            </w:r>
          </w:p>
        </w:tc>
      </w:tr>
      <w:tr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Loggerhead turtle</w:t>
            </w:r>
          </w:p>
        </w:tc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High</w:t>
            </w:r>
          </w:p>
        </w:tc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percentile, bayes</w:t>
            </w:r>
          </w:p>
        </w:tc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39 (P95)</w:t>
            </w:r>
          </w:p>
        </w:tc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+2.33 (P95)</w:t>
            </w:r>
          </w:p>
        </w:tc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+11.3%/yr</w:t>
            </w:r>
          </w:p>
        </w:tc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33 km</w:t>
            </w:r>
          </w:p>
        </w:tc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3–38</w:t>
            </w:r>
          </w:p>
        </w:tc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none</w:t>
            </w:r>
          </w:p>
        </w:tc>
        <w:tc>
          <w:tcPr>
            <w:tcW w:type="dxa" w:w="125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84%</w:t>
            </w:r>
          </w:p>
        </w:tc>
        <w:tc>
          <w:tcPr>
            <w:tcW w:type="dxa" w:w="1260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cause unclear; demographic (year-class) review needed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Ocean regime at interaction sets</w:t>
      </w:r>
    </w:p>
    <w:p>
      <w:pPr>
        <w:spacing w:before="160" w:after="80"/>
      </w:pPr>
      <w:r>
        <w:rPr>
          <w:b/>
          <w:bCs/>
          <w:color w:val="21295C"/>
          <w:sz w:val="19"/>
          <w:szCs w:val="19"/>
        </w:rPr>
        <w:t xml:space="preserve">Direction of environmental conditions at interaction sets across species (share of species at or beyond the 75th / 25th percentile of their own history).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6"/>
        <w:gridCol w:w="2306"/>
        <w:gridCol w:w="2306"/>
        <w:gridCol w:w="2306"/>
        <w:gridCol w:w="2306"/>
        <w:gridCol w:w="2310"/>
      </w:tblGrid>
      <w:tr>
        <w:trPr>
          <w:tblHeader/>
        </w:trPr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Variable</w:t>
            </w:r>
          </w:p>
        </w:tc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Mean percentile</w:t>
            </w:r>
          </w:p>
        </w:tc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Species high (≥75th)</w:t>
            </w:r>
          </w:p>
        </w:tc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Species low (≤25th)</w:t>
            </w:r>
          </w:p>
        </w:tc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Species with extreme selection anomaly</w:t>
            </w:r>
          </w:p>
        </w:tc>
        <w:tc>
          <w:tcPr>
            <w:tcW w:type="dxa" w:w="2310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Reading</w:t>
            </w:r>
          </w:p>
        </w:tc>
      </w:tr>
      <w:tr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Chlorophyll-a</w:t>
            </w:r>
          </w:p>
        </w:tc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64</w:t>
            </w:r>
          </w:p>
        </w:tc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3 of 6</w:t>
            </w:r>
          </w:p>
        </w:tc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 of 6</w:t>
            </w:r>
          </w:p>
        </w:tc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W w:type="dxa" w:w="2310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high across the fishery</w:t>
            </w:r>
          </w:p>
        </w:tc>
      </w:tr>
      <w:tr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Distance to seamount</w:t>
            </w:r>
          </w:p>
        </w:tc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70</w:t>
            </w:r>
          </w:p>
        </w:tc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3 of 6</w:t>
            </w:r>
          </w:p>
        </w:tc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 of 6</w:t>
            </w:r>
          </w:p>
        </w:tc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2310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high across the fishery</w:t>
            </w:r>
          </w:p>
        </w:tc>
      </w:tr>
      <w:tr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SST</w:t>
            </w:r>
          </w:p>
        </w:tc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25</w:t>
            </w:r>
          </w:p>
        </w:tc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 of 6</w:t>
            </w:r>
          </w:p>
        </w:tc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3 of 6</w:t>
            </w:r>
          </w:p>
        </w:tc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W w:type="dxa" w:w="2310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low across the fishery</w:t>
            </w:r>
          </w:p>
        </w:tc>
      </w:tr>
      <w:tr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Sea-level anomaly</w:t>
            </w:r>
          </w:p>
        </w:tc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78</w:t>
            </w:r>
          </w:p>
        </w:tc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3 of 6</w:t>
            </w:r>
          </w:p>
        </w:tc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 of 6</w:t>
            </w:r>
          </w:p>
        </w:tc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2310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high across the fishery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bCs/>
          <w:color w:val="21295C"/>
          <w:sz w:val="19"/>
          <w:szCs w:val="19"/>
        </w:rPr>
        <w:t xml:space="preserve">Basin-scale climate indicators.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8"/>
        <w:gridCol w:w="2768"/>
        <w:gridCol w:w="2768"/>
        <w:gridCol w:w="2768"/>
        <w:gridCol w:w="2768"/>
      </w:tblGrid>
      <w:tr>
        <w:trPr>
          <w:tblHeader/>
        </w:trPr>
        <w:tc>
          <w:tcPr>
            <w:tcW w:type="dxa" w:w="276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Indicator</w:t>
            </w:r>
          </w:p>
        </w:tc>
        <w:tc>
          <w:tcPr>
            <w:tcW w:type="dxa" w:w="276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Value</w:t>
            </w:r>
          </w:p>
        </w:tc>
        <w:tc>
          <w:tcPr>
            <w:tcW w:type="dxa" w:w="276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State</w:t>
            </w:r>
          </w:p>
        </w:tc>
        <w:tc>
          <w:tcPr>
            <w:tcW w:type="dxa" w:w="276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Correlation with interactions</w:t>
            </w:r>
          </w:p>
        </w:tc>
        <w:tc>
          <w:tcPr>
            <w:tcW w:type="dxa" w:w="276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Mechanism</w:t>
            </w:r>
          </w:p>
        </w:tc>
      </w:tr>
      <w:tr>
        <w:tc>
          <w:tcPr>
            <w:tcW w:type="dxa" w:w="276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ONI</w:t>
            </w:r>
          </w:p>
        </w:tc>
        <w:tc>
          <w:tcPr>
            <w:tcW w:type="dxa" w:w="276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1.20</w:t>
            </w:r>
          </w:p>
        </w:tc>
        <w:tc>
          <w:tcPr>
            <w:tcW w:type="dxa" w:w="276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El Niño phase / warm anomaly</w:t>
            </w:r>
          </w:p>
        </w:tc>
        <w:tc>
          <w:tcPr>
            <w:tcW w:type="dxa" w:w="276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Strong positive</w:t>
            </w:r>
          </w:p>
        </w:tc>
        <w:tc>
          <w:tcPr>
            <w:tcW w:type="dxa" w:w="276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Shifts target distribution; compresses foraging habitat</w:t>
            </w:r>
          </w:p>
        </w:tc>
      </w:tr>
      <w:tr>
        <w:tc>
          <w:tcPr>
            <w:tcW w:type="dxa" w:w="276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PDO</w:t>
            </w:r>
          </w:p>
        </w:tc>
        <w:tc>
          <w:tcPr>
            <w:tcW w:type="dxa" w:w="276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-0.85</w:t>
            </w:r>
          </w:p>
        </w:tc>
        <w:tc>
          <w:tcPr>
            <w:tcW w:type="dxa" w:w="276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Negative / cool phase</w:t>
            </w:r>
          </w:p>
        </w:tc>
        <w:tc>
          <w:tcPr>
            <w:tcW w:type="dxa" w:w="276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Moderate negative</w:t>
            </w:r>
          </w:p>
        </w:tc>
        <w:tc>
          <w:tcPr>
            <w:tcW w:type="dxa" w:w="276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North Pacific boundary currents and prey density</w:t>
            </w:r>
          </w:p>
        </w:tc>
      </w:tr>
      <w:tr>
        <w:tc>
          <w:tcPr>
            <w:tcW w:type="dxa" w:w="276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TurtleWatch 17.5–18.5 °C band</w:t>
            </w:r>
          </w:p>
        </w:tc>
        <w:tc>
          <w:tcPr>
            <w:tcW w:type="dxa" w:w="276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276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South-eastern compression</w:t>
            </w:r>
          </w:p>
        </w:tc>
        <w:tc>
          <w:tcPr>
            <w:tcW w:type="dxa" w:w="276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Strong positive (SSLL)</w:t>
            </w:r>
          </w:p>
        </w:tc>
        <w:tc>
          <w:tcPr>
            <w:tcW w:type="dxa" w:w="276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Swordfish-set overlap with loggerheads</w:t>
            </w:r>
          </w:p>
        </w:tc>
      </w:tr>
      <w:tr>
        <w:tc>
          <w:tcPr>
            <w:tcW w:type="dxa" w:w="276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STCZ latitude</w:t>
            </w:r>
          </w:p>
        </w:tc>
        <w:tc>
          <w:tcPr>
            <w:tcW w:type="dxa" w:w="276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22.00</w:t>
            </w:r>
          </w:p>
        </w:tc>
        <w:tc>
          <w:tcPr>
            <w:tcW w:type="dxa" w:w="276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Southward shift</w:t>
            </w:r>
          </w:p>
        </w:tc>
        <w:tc>
          <w:tcPr>
            <w:tcW w:type="dxa" w:w="276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Strong positive (DSLL)</w:t>
            </w:r>
          </w:p>
        </w:tc>
        <w:tc>
          <w:tcPr>
            <w:tcW w:type="dxa" w:w="276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Concentrates prey and juvenile leatherbacks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Fleet dynamics, gear and fisher behaviour</w:t>
      </w:r>
    </w:p>
    <w:p>
      <w:pPr>
        <w:spacing w:before="160" w:after="80"/>
      </w:pPr>
      <w:r>
        <w:rPr>
          <w:b/>
          <w:bCs/>
          <w:color w:val="21295C"/>
          <w:sz w:val="19"/>
          <w:szCs w:val="19"/>
        </w:rPr>
        <w:t xml:space="preserve">Fleet effort share by stratum, baseline vs. current.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6"/>
        <w:gridCol w:w="2306"/>
        <w:gridCol w:w="2306"/>
        <w:gridCol w:w="2306"/>
        <w:gridCol w:w="2306"/>
        <w:gridCol w:w="2310"/>
      </w:tblGrid>
      <w:tr>
        <w:trPr>
          <w:tblHeader/>
        </w:trPr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Stratum</w:t>
            </w:r>
          </w:p>
        </w:tc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Baseline %</w:t>
            </w:r>
          </w:p>
        </w:tc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Current %</w:t>
            </w:r>
          </w:p>
        </w:tc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Shift (pts)</w:t>
            </w:r>
          </w:p>
        </w:tc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Operational driver</w:t>
            </w:r>
          </w:p>
        </w:tc>
        <w:tc>
          <w:tcPr>
            <w:tcW w:type="dxa" w:w="2310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Species overlap</w:t>
            </w:r>
          </w:p>
        </w:tc>
      </w:tr>
      <w:tr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Latitude: south of 20°N</w:t>
            </w:r>
          </w:p>
        </w:tc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44.2</w:t>
            </w:r>
          </w:p>
        </w:tc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61.8</w:t>
            </w:r>
          </w:p>
        </w:tc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+17.6</w:t>
            </w:r>
          </w:p>
        </w:tc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Low bigeye CPUE north; targeting yellowfin</w:t>
            </w:r>
          </w:p>
        </w:tc>
        <w:tc>
          <w:tcPr>
            <w:tcW w:type="dxa" w:w="2310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OWT,LBT</w:t>
            </w:r>
          </w:p>
        </w:tc>
      </w:tr>
      <w:tr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Latitude: 20°N–30°N</w:t>
            </w:r>
          </w:p>
        </w:tc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48.1</w:t>
            </w:r>
          </w:p>
        </w:tc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32.5</w:t>
            </w:r>
          </w:p>
        </w:tc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-15.6</w:t>
            </w:r>
          </w:p>
        </w:tc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High fuel cost limiting long northern transits</w:t>
            </w:r>
          </w:p>
        </w:tc>
        <w:tc>
          <w:tcPr>
            <w:tcW w:type="dxa" w:w="2310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LHT</w:t>
            </w:r>
          </w:p>
        </w:tc>
      </w:tr>
      <w:tr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Latitude: north of 30°N</w:t>
            </w:r>
          </w:p>
        </w:tc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7.7</w:t>
            </w:r>
          </w:p>
        </w:tc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5.7</w:t>
            </w:r>
          </w:p>
        </w:tc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-2.0</w:t>
            </w:r>
          </w:p>
        </w:tc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Seasonal swordfish sets only</w:t>
            </w:r>
          </w:p>
        </w:tc>
        <w:tc>
          <w:tcPr>
            <w:tcW w:type="dxa" w:w="2310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LHT,BFAL,LAAL</w:t>
            </w:r>
          </w:p>
        </w:tc>
      </w:tr>
      <w:tr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Longitude: west of 160°W</w:t>
            </w:r>
          </w:p>
        </w:tc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31.5</w:t>
            </w:r>
          </w:p>
        </w:tc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46.2</w:t>
            </w:r>
          </w:p>
        </w:tc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+14.7</w:t>
            </w:r>
          </w:p>
        </w:tc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Favourable temperature fronts</w:t>
            </w:r>
          </w:p>
        </w:tc>
        <w:tc>
          <w:tcPr>
            <w:tcW w:type="dxa" w:w="2310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LBT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bCs/>
          <w:color w:val="21295C"/>
          <w:sz w:val="19"/>
          <w:szCs w:val="19"/>
        </w:rPr>
        <w:t xml:space="preserve">Gear configuration and interaction outcomes.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6"/>
        <w:gridCol w:w="2306"/>
        <w:gridCol w:w="2306"/>
        <w:gridCol w:w="2306"/>
        <w:gridCol w:w="2306"/>
        <w:gridCol w:w="2310"/>
      </w:tblGrid>
      <w:tr>
        <w:trPr>
          <w:tblHeader/>
        </w:trPr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Gear variable</w:t>
            </w:r>
          </w:p>
        </w:tc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Adoption %</w:t>
            </w:r>
          </w:p>
        </w:tc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Interactions</w:t>
            </w:r>
          </w:p>
        </w:tc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CPUE per 1,000 hooks</w:t>
            </w:r>
          </w:p>
        </w:tc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At-vessel mortality %</w:t>
            </w:r>
          </w:p>
        </w:tc>
        <w:tc>
          <w:tcPr>
            <w:tcW w:type="dxa" w:w="2310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Finding</w:t>
            </w:r>
          </w:p>
        </w:tc>
      </w:tr>
      <w:tr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Leader type: monofilament</w:t>
            </w:r>
          </w:p>
        </w:tc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100</w:t>
            </w:r>
          </w:p>
        </w:tc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823</w:t>
            </w:r>
          </w:p>
        </w:tc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0.1001</w:t>
            </w:r>
          </w:p>
        </w:tc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23.9</w:t>
            </w:r>
          </w:p>
        </w:tc>
        <w:tc>
          <w:tcPr>
            <w:tcW w:type="dxa" w:w="2310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~41 % bite-off for sharks; reduced trailing line</w:t>
            </w:r>
          </w:p>
        </w:tc>
      </w:tr>
      <w:tr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Leader type: wire</w:t>
            </w:r>
          </w:p>
        </w:tc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</w:t>
            </w:r>
          </w:p>
        </w:tc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</w:t>
            </w:r>
          </w:p>
        </w:tc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2310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Phased out by regulation (2022)</w:t>
            </w:r>
          </w:p>
        </w:tc>
      </w:tr>
      <w:tr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Bait: milkfish (vs. sanma)</w:t>
            </w:r>
          </w:p>
        </w:tc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85</w:t>
            </w:r>
          </w:p>
        </w:tc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680</w:t>
            </w:r>
          </w:p>
        </w:tc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0.0890</w:t>
            </w:r>
          </w:p>
        </w:tc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24.1</w:t>
            </w:r>
          </w:p>
        </w:tc>
        <w:tc>
          <w:tcPr>
            <w:tcW w:type="dxa" w:w="2310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Lower cost; lower bigeye CPUE; potential effort shift</w:t>
            </w:r>
          </w:p>
        </w:tc>
      </w:tr>
      <w:tr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Hook position: shallow (hooks 1–3 from float)</w:t>
            </w:r>
          </w:p>
        </w:tc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15.8</w:t>
            </w:r>
          </w:p>
        </w:tc>
        <w:tc>
          <w:tcPr>
            <w:tcW w:type="dxa" w:w="2310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49 % of takes; oceanic whitetip and juvenile zone</w:t>
            </w:r>
          </w:p>
        </w:tc>
      </w:tr>
      <w:tr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Hook position: deep (hooks ≥4 from float)</w:t>
            </w:r>
          </w:p>
        </w:tc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2306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62.8</w:t>
            </w:r>
          </w:p>
        </w:tc>
        <w:tc>
          <w:tcPr>
            <w:tcW w:type="dxa" w:w="2310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51 % of takes; adult leatherback diving zone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bCs/>
          <w:color w:val="21295C"/>
          <w:sz w:val="19"/>
          <w:szCs w:val="19"/>
        </w:rPr>
        <w:t xml:space="preserve">Post-interaction fisher behaviour.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8"/>
        <w:gridCol w:w="2768"/>
        <w:gridCol w:w="2768"/>
        <w:gridCol w:w="2768"/>
        <w:gridCol w:w="2768"/>
      </w:tblGrid>
      <w:tr>
        <w:trPr>
          <w:tblHeader/>
        </w:trPr>
        <w:tc>
          <w:tcPr>
            <w:tcW w:type="dxa" w:w="276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Interactions on trip</w:t>
            </w:r>
          </w:p>
        </w:tc>
        <w:tc>
          <w:tcPr>
            <w:tcW w:type="dxa" w:w="276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Distance to next set (km)</w:t>
            </w:r>
          </w:p>
        </w:tc>
        <w:tc>
          <w:tcPr>
            <w:tcW w:type="dxa" w:w="276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Post-move interaction probability</w:t>
            </w:r>
          </w:p>
        </w:tc>
        <w:tc>
          <w:tcPr>
            <w:tcW w:type="dxa" w:w="276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Trips</w:t>
            </w:r>
          </w:p>
        </w:tc>
        <w:tc>
          <w:tcPr>
            <w:tcW w:type="dxa" w:w="276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Fleet response</w:t>
            </w:r>
          </w:p>
        </w:tc>
      </w:tr>
      <w:tr>
        <w:tc>
          <w:tcPr>
            <w:tcW w:type="dxa" w:w="276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 takes (baseline sets)</w:t>
            </w:r>
          </w:p>
        </w:tc>
        <w:tc>
          <w:tcPr>
            <w:tcW w:type="dxa" w:w="276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14.2</w:t>
            </w:r>
          </w:p>
        </w:tc>
        <w:tc>
          <w:tcPr>
            <w:tcW w:type="dxa" w:w="276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Baseline rate</w:t>
            </w:r>
          </w:p>
        </w:tc>
        <w:tc>
          <w:tcPr>
            <w:tcW w:type="dxa" w:w="276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276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Standard set spacing</w:t>
            </w:r>
          </w:p>
        </w:tc>
      </w:tr>
      <w:tr>
        <w:tc>
          <w:tcPr>
            <w:tcW w:type="dxa" w:w="276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 interaction</w:t>
            </w:r>
          </w:p>
        </w:tc>
        <w:tc>
          <w:tcPr>
            <w:tcW w:type="dxa" w:w="276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15.5</w:t>
            </w:r>
          </w:p>
        </w:tc>
        <w:tc>
          <w:tcPr>
            <w:tcW w:type="dxa" w:w="276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No significant change</w:t>
            </w:r>
          </w:p>
        </w:tc>
        <w:tc>
          <w:tcPr>
            <w:tcW w:type="dxa" w:w="276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12</w:t>
            </w:r>
          </w:p>
        </w:tc>
        <w:tc>
          <w:tcPr>
            <w:tcW w:type="dxa" w:w="276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Minor adjustment; vessels typically continue</w:t>
            </w:r>
          </w:p>
        </w:tc>
      </w:tr>
      <w:tr>
        <w:tc>
          <w:tcPr>
            <w:tcW w:type="dxa" w:w="276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3 interactions</w:t>
            </w:r>
          </w:p>
        </w:tc>
        <w:tc>
          <w:tcPr>
            <w:tcW w:type="dxa" w:w="276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22.4</w:t>
            </w:r>
          </w:p>
        </w:tc>
        <w:tc>
          <w:tcPr>
            <w:tcW w:type="dxa" w:w="276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Variable</w:t>
            </w:r>
          </w:p>
        </w:tc>
        <w:tc>
          <w:tcPr>
            <w:tcW w:type="dxa" w:w="276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7</w:t>
            </w:r>
          </w:p>
        </w:tc>
        <w:tc>
          <w:tcPr>
            <w:tcW w:type="dxa" w:w="276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4 moved, 3 ended trip; movement does not guarantee zero takes</w:t>
            </w:r>
          </w:p>
        </w:tc>
      </w:tr>
      <w:tr>
        <w:tc>
          <w:tcPr>
            <w:tcW w:type="dxa" w:w="276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Trip limit met (≥5 LH or ≥2 LB)</w:t>
            </w:r>
          </w:p>
        </w:tc>
        <w:tc>
          <w:tcPr>
            <w:tcW w:type="dxa" w:w="276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276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0 % (mandatory stop)</w:t>
            </w:r>
          </w:p>
        </w:tc>
        <w:tc>
          <w:tcPr>
            <w:tcW w:type="dxa" w:w="276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276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Return to port; 5-day stand-down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Demographic composition of take</w:t>
      </w:r>
    </w:p>
    <w:p>
      <w:pPr>
        <w:spacing w:before="160" w:after="80"/>
      </w:pPr>
      <w:r>
        <w:rPr>
          <w:b/>
          <w:bCs/>
          <w:color w:val="21295C"/>
          <w:sz w:val="19"/>
          <w:szCs w:val="19"/>
        </w:rPr>
        <w:t xml:space="preserve">Size-class composition, mortality and population context (illustrative).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7"/>
        <w:gridCol w:w="1977"/>
        <w:gridCol w:w="1977"/>
        <w:gridCol w:w="1977"/>
        <w:gridCol w:w="1977"/>
        <w:gridCol w:w="1977"/>
        <w:gridCol w:w="1978"/>
      </w:tblGrid>
      <w:tr>
        <w:trPr>
          <w:tblHeader/>
        </w:trPr>
        <w:tc>
          <w:tcPr>
            <w:tcW w:type="dxa" w:w="1977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Species / DPS</w:t>
            </w:r>
          </w:p>
        </w:tc>
        <w:tc>
          <w:tcPr>
            <w:tcW w:type="dxa" w:w="1977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Size class</w:t>
            </w:r>
          </w:p>
        </w:tc>
        <w:tc>
          <w:tcPr>
            <w:tcW w:type="dxa" w:w="1977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% of takes</w:t>
            </w:r>
          </w:p>
        </w:tc>
        <w:tc>
          <w:tcPr>
            <w:tcW w:type="dxa" w:w="1977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At-vessel mortality %</w:t>
            </w:r>
          </w:p>
        </w:tc>
        <w:tc>
          <w:tcPr>
            <w:tcW w:type="dxa" w:w="1977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Post-release mortality %</w:t>
            </w:r>
          </w:p>
        </w:tc>
        <w:tc>
          <w:tcPr>
            <w:tcW w:type="dxa" w:w="1977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Est. mortalities / yr</w:t>
            </w:r>
          </w:p>
        </w:tc>
        <w:tc>
          <w:tcPr>
            <w:tcW w:type="dxa" w:w="197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Population context</w:t>
            </w:r>
          </w:p>
        </w:tc>
      </w:tr>
      <w:tr>
        <w:tc>
          <w:tcPr>
            <w:tcW w:type="dxa" w:w="1977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West Pacific leatherback</w:t>
            </w:r>
          </w:p>
        </w:tc>
        <w:tc>
          <w:tcPr>
            <w:tcW w:type="dxa" w:w="1977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juvenile (&lt;115 cm SCL)</w:t>
            </w:r>
          </w:p>
        </w:tc>
        <w:tc>
          <w:tcPr>
            <w:tcW w:type="dxa" w:w="1977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35</w:t>
            </w:r>
          </w:p>
        </w:tc>
        <w:tc>
          <w:tcPr>
            <w:tcW w:type="dxa" w:w="1977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62.8</w:t>
            </w:r>
          </w:p>
        </w:tc>
        <w:tc>
          <w:tcPr>
            <w:tcW w:type="dxa" w:w="1977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14.0</w:t>
            </w:r>
          </w:p>
        </w:tc>
        <w:tc>
          <w:tcPr>
            <w:tcW w:type="dxa" w:w="1977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9.3</w:t>
            </w:r>
          </w:p>
        </w:tc>
        <w:tc>
          <w:tcPr>
            <w:tcW w:type="dxa" w:w="197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Stable since 2017; historical model −6.0 %/yr</w:t>
            </w:r>
          </w:p>
        </w:tc>
      </w:tr>
      <w:tr>
        <w:tc>
          <w:tcPr>
            <w:tcW w:type="dxa" w:w="1977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West Pacific leatherback</w:t>
            </w:r>
          </w:p>
        </w:tc>
        <w:tc>
          <w:tcPr>
            <w:tcW w:type="dxa" w:w="1977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subadult/adult</w:t>
            </w:r>
          </w:p>
        </w:tc>
        <w:tc>
          <w:tcPr>
            <w:tcW w:type="dxa" w:w="1977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65</w:t>
            </w:r>
          </w:p>
        </w:tc>
        <w:tc>
          <w:tcPr>
            <w:tcW w:type="dxa" w:w="1977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15.8</w:t>
            </w:r>
          </w:p>
        </w:tc>
        <w:tc>
          <w:tcPr>
            <w:tcW w:type="dxa" w:w="1977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14.0</w:t>
            </w:r>
          </w:p>
        </w:tc>
        <w:tc>
          <w:tcPr>
            <w:tcW w:type="dxa" w:w="1977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97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977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East Pacific leatherback</w:t>
            </w:r>
          </w:p>
        </w:tc>
        <w:tc>
          <w:tcPr>
            <w:tcW w:type="dxa" w:w="1977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all (5 % of takes by genetics)</w:t>
            </w:r>
          </w:p>
        </w:tc>
        <w:tc>
          <w:tcPr>
            <w:tcW w:type="dxa" w:w="1977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1977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22.0</w:t>
            </w:r>
          </w:p>
        </w:tc>
        <w:tc>
          <w:tcPr>
            <w:tcW w:type="dxa" w:w="1977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14.0</w:t>
            </w:r>
          </w:p>
        </w:tc>
        <w:tc>
          <w:tcPr>
            <w:tcW w:type="dxa" w:w="1977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0.5</w:t>
            </w:r>
          </w:p>
        </w:tc>
        <w:tc>
          <w:tcPr>
            <w:tcW w:type="dxa" w:w="197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Decreasing −8.1 %/yr</w:t>
            </w:r>
          </w:p>
        </w:tc>
      </w:tr>
      <w:tr>
        <w:tc>
          <w:tcPr>
            <w:tcW w:type="dxa" w:w="1977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Oceanic whitetip shark</w:t>
            </w:r>
          </w:p>
        </w:tc>
        <w:tc>
          <w:tcPr>
            <w:tcW w:type="dxa" w:w="1977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100–160 cm TL (mixed subadult/adult)</w:t>
            </w:r>
          </w:p>
        </w:tc>
        <w:tc>
          <w:tcPr>
            <w:tcW w:type="dxa" w:w="1977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100</w:t>
            </w:r>
          </w:p>
        </w:tc>
        <w:tc>
          <w:tcPr>
            <w:tcW w:type="dxa" w:w="1977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23.9</w:t>
            </w:r>
          </w:p>
        </w:tc>
        <w:tc>
          <w:tcPr>
            <w:tcW w:type="dxa" w:w="1977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3.2</w:t>
            </w:r>
          </w:p>
        </w:tc>
        <w:tc>
          <w:tcPr>
            <w:tcW w:type="dxa" w:w="1977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1,288.0</w:t>
            </w:r>
          </w:p>
        </w:tc>
        <w:tc>
          <w:tcPr>
            <w:tcW w:type="dxa" w:w="197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Increasing +6–7 %/yr (2025 WCPO assessment)</w:t>
            </w:r>
          </w:p>
        </w:tc>
      </w:tr>
      <w:tr>
        <w:tc>
          <w:tcPr>
            <w:tcW w:type="dxa" w:w="1977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N. Pacific loggerhead</w:t>
            </w:r>
          </w:p>
        </w:tc>
        <w:tc>
          <w:tcPr>
            <w:tcW w:type="dxa" w:w="1977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juvenile (&lt;60 cm SCL)</w:t>
            </w:r>
          </w:p>
        </w:tc>
        <w:tc>
          <w:tcPr>
            <w:tcW w:type="dxa" w:w="1977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58</w:t>
            </w:r>
          </w:p>
        </w:tc>
        <w:tc>
          <w:tcPr>
            <w:tcW w:type="dxa" w:w="1977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4.0</w:t>
            </w:r>
          </w:p>
        </w:tc>
        <w:tc>
          <w:tcPr>
            <w:tcW w:type="dxa" w:w="1977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18.0</w:t>
            </w:r>
          </w:p>
        </w:tc>
        <w:tc>
          <w:tcPr>
            <w:tcW w:type="dxa" w:w="1977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97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Nesting trend increasing (Japan)</w:t>
            </w:r>
          </w:p>
        </w:tc>
      </w:tr>
      <w:tr>
        <w:tc>
          <w:tcPr>
            <w:tcW w:type="dxa" w:w="1977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N. Pacific loggerhead</w:t>
            </w:r>
          </w:p>
        </w:tc>
        <w:tc>
          <w:tcPr>
            <w:tcW w:type="dxa" w:w="1977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subadult/adult</w:t>
            </w:r>
          </w:p>
        </w:tc>
        <w:tc>
          <w:tcPr>
            <w:tcW w:type="dxa" w:w="1977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42</w:t>
            </w:r>
          </w:p>
        </w:tc>
        <w:tc>
          <w:tcPr>
            <w:tcW w:type="dxa" w:w="1977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2.0</w:t>
            </w:r>
          </w:p>
        </w:tc>
        <w:tc>
          <w:tcPr>
            <w:tcW w:type="dxa" w:w="1977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18.0</w:t>
            </w:r>
          </w:p>
        </w:tc>
        <w:tc>
          <w:tcPr>
            <w:tcW w:type="dxa" w:w="1977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978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Incidental take statement status</w:t>
      </w:r>
    </w:p>
    <w:p>
      <w:pPr>
        <w:spacing w:before="160" w:after="80"/>
      </w:pPr>
      <w:r>
        <w:rPr>
          <w:b/>
          <w:bCs/>
          <w:color w:val="21295C"/>
          <w:sz w:val="19"/>
          <w:szCs w:val="19"/>
        </w:rPr>
        <w:t xml:space="preserve">ITS running-sum tracker (fleet-expanded take; ITS values illustrative).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4"/>
        <w:gridCol w:w="1384"/>
        <w:gridCol w:w="1384"/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Species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Authority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Annual ITS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Window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Years elapsed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Cumulative expanded take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Window limit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% of limit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P(exceed before close)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Alert</w:t>
            </w:r>
          </w:p>
        </w:tc>
      </w:tr>
      <w:tr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Oceanic whitetip shark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DSLL BiOp (illustrative)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300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5 yr from 2023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874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1500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58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0.213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Leatherback turtle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SSLL BiOp (illustrative)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16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5 yr from 2021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55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80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69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0.000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Loggerhead turtle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SSLL BiOp (illustrative)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36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5 yr from 2021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152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180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84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0.000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No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Data gaps and validation needs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ITS values, β reporting-bias scaler, environmental-sensitivity coefficient, gear multipliers and size-class shares are placeholders pending SME validation.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Gear/method change and year-class strength are not observable from the aggregated tables and are required to close the causal diagnosis.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 aggregated species × year × size-class view from LOTUS is needed to compute demographic composition rather than transcribe it.</w:t>
      </w:r>
    </w:p>
    <w:p>
      <w:pPr>
        <w:pStyle w:val="Heading2"/>
      </w:pPr>
      <w:r>
        <w:t xml:space="preserve">3.3.2.2 Species accounts</w:t>
      </w:r>
    </w:p>
    <w:p>
      <w:pPr>
        <w:pStyle w:val="Heading3"/>
      </w:pPr>
      <w:r>
        <w:t xml:space="preserve">Black-footed albatross — Typical</w:t>
      </w:r>
    </w:p>
    <w:p>
      <w:pPr>
        <w:spacing w:after="120"/>
      </w:pPr>
      <w:r>
        <w:t xml:space="preserve">Typical (+0.23): 34 interactions were observed in 2025 against a historical median of 28 (63th percentile; Bayesian tail probability 0.280). The rate anomaly was +0.32 (68th percentile) with a 0.0% annual decreasing trend over the last 5 years (Poisson). The interaction centroid moved 127 km and 0.0% of interactions fell outside the historical 90% area. Ocean context: Chlorophyll-a at the 53th percentile, Distance to seamount at the 79th percentile, SST at the 32th percentile, Sea-level anomaly at the 79th percentile. Causal-diagnostic branch supported by the evidence: not applicable (within expectation).</w:t>
      </w:r>
    </w:p>
    <w:p>
      <w:pPr>
        <w:spacing w:after="120"/>
      </w:pPr>
      <w:r>
        <w:rPr>
          <w:i/>
          <w:iCs/>
          <w:color w:val="5A6C7D"/>
          <w:sz w:val="18"/>
          <w:szCs w:val="18"/>
        </w:rPr>
        <w:t xml:space="preserve">Source: rule-based template. Generated 2026-09-25 from aggregated pipeline outputs; not reviewed text.</w:t>
      </w:r>
    </w:p>
    <w:p>
      <w:pPr>
        <w:pStyle w:val="Heading3"/>
      </w:pPr>
      <w:r>
        <w:t xml:space="preserve">Laysan albatross — Typical</w:t>
      </w:r>
    </w:p>
    <w:p>
      <w:pPr>
        <w:spacing w:after="120"/>
      </w:pPr>
      <w:r>
        <w:t xml:space="preserve">Typical (+0.76): 54 interactions were observed in 2025 against a historical median of 36 (84th percentile; Bayesian tail probability 0.175). The rate anomaly was +1.04 (90th percentile) with a 46.6% annual increasing trend over the last 5 years (Poisson). The interaction centroid moved 297 km and 0.0% of interactions fell outside the historical 90% area. Ocean context: Chlorophyll-a at the 79th percentile, Distance to seamount at the 84th percentile, SST at the 21th percentile, Sea-level anomaly at the 68th percentile. Causal-diagnostic branch supported by the evidence: not applicable (within expectation).</w:t>
      </w:r>
    </w:p>
    <w:p>
      <w:pPr>
        <w:spacing w:after="120"/>
      </w:pPr>
      <w:r>
        <w:rPr>
          <w:i/>
          <w:iCs/>
          <w:color w:val="5A6C7D"/>
          <w:sz w:val="18"/>
          <w:szCs w:val="18"/>
        </w:rPr>
        <w:t xml:space="preserve">Source: rule-based template. Generated 2026-09-25 from aggregated pipeline outputs; not reviewed text.</w:t>
      </w:r>
    </w:p>
    <w:p>
      <w:pPr>
        <w:pStyle w:val="Heading3"/>
      </w:pPr>
      <w:r>
        <w:t xml:space="preserve">Oceanic whitetip shark — Typical</w:t>
      </w:r>
    </w:p>
    <w:p>
      <w:pPr>
        <w:spacing w:after="120"/>
      </w:pPr>
      <w:r>
        <w:t xml:space="preserve">Typical (-0.63): 3 interactions were observed in 2025 against a historical median of 32 (16th percentile; Bayesian tail probability 0.966). The rate anomaly was -0.66 (16th percentile) with a 19.8% annual decreasing trend over the last 5 years (Negative binomial). The interaction centroid moved 808 km and 0.0% of interactions fell outside the historical 90% area. Ocean context: Chlorophyll-a at the 90th percentile, Distance to seamount at the 16th percentile, SST at the 21th percentile, Sea-level anomaly at the 90th percentile. Causal-diagnostic branch supported by the evidence: not applicable (within expectation).</w:t>
      </w:r>
    </w:p>
    <w:p>
      <w:pPr>
        <w:spacing w:after="120"/>
      </w:pPr>
      <w:r>
        <w:rPr>
          <w:i/>
          <w:iCs/>
          <w:color w:val="5A6C7D"/>
          <w:sz w:val="18"/>
          <w:szCs w:val="18"/>
        </w:rPr>
        <w:t xml:space="preserve">Source: rule-based template. Generated 2026-09-25 from aggregated pipeline outputs; not reviewed text.</w:t>
      </w:r>
    </w:p>
    <w:p>
      <w:pPr>
        <w:pStyle w:val="Heading3"/>
      </w:pPr>
      <w:r>
        <w:t xml:space="preserve">Shortfin mako shark — Typical</w:t>
      </w:r>
    </w:p>
    <w:p>
      <w:pPr>
        <w:spacing w:after="120"/>
      </w:pPr>
      <w:r>
        <w:t xml:space="preserve">Typical (+0.31): 1121 interactions were observed in 2025 against a historical median of 975 (63th percentile; Bayesian tail probability 0.309). The rate anomaly was +0.75 (74th percentile) with a 2.0% annual increasing trend over the last 5 years (Negative binomial). The interaction centroid moved 348 km and 5.9% of interactions fell outside the historical 90% area. Ocean context: Chlorophyll-a at the 90th percentile, Distance to seamount at the 95th percentile, SST at the 10th percentile, Sea-level anomaly at the 90th percentile. Causal-diagnostic branch supported by the evidence: not applicable (within expectation).</w:t>
      </w:r>
    </w:p>
    <w:p>
      <w:pPr>
        <w:spacing w:after="120"/>
      </w:pPr>
      <w:r>
        <w:rPr>
          <w:i/>
          <w:iCs/>
          <w:color w:val="5A6C7D"/>
          <w:sz w:val="18"/>
          <w:szCs w:val="18"/>
        </w:rPr>
        <w:t xml:space="preserve">Source: rule-based template. Generated 2026-09-25 from aggregated pipeline outputs; not reviewed text.</w:t>
      </w:r>
    </w:p>
    <w:p>
      <w:pPr>
        <w:pStyle w:val="Heading3"/>
      </w:pPr>
      <w:r>
        <w:t xml:space="preserve">Leatherback turtle — Typical</w:t>
      </w:r>
    </w:p>
    <w:p>
      <w:pPr>
        <w:spacing w:after="120"/>
      </w:pPr>
      <w:r>
        <w:t xml:space="preserve">Typical (+0.67): 9 interactions were observed in 2025 against a historical median of 6 (68th percentile; Bayesian tail probability 0.333). The rate anomaly was +1.06 (68th percentile) with a 0.5% annual increasing trend over the last 10 years (Poisson). The interaction centroid moved 224 km and 12.5% of interactions fell outside the historical 90% area. Ocean context: Chlorophyll-a at the 16th percentile, Distance to seamount at the 74th percentile, SST at the 37th percentile, Sea-level anomaly at the 74th percentile. Causal-diagnostic branch supported by the evidence: not applicable (within expectation).</w:t>
      </w:r>
    </w:p>
    <w:p>
      <w:pPr>
        <w:spacing w:after="120"/>
      </w:pPr>
      <w:r>
        <w:rPr>
          <w:i/>
          <w:iCs/>
          <w:color w:val="5A6C7D"/>
          <w:sz w:val="18"/>
          <w:szCs w:val="18"/>
        </w:rPr>
        <w:t xml:space="preserve">Source: rule-based template. Generated 2026-09-25 from aggregated pipeline outputs; not reviewed text.</w:t>
      </w:r>
    </w:p>
    <w:p>
      <w:pPr>
        <w:pStyle w:val="Heading3"/>
      </w:pPr>
      <w:r>
        <w:t xml:space="preserve">Loggerhead turtle — High</w:t>
      </w:r>
    </w:p>
    <w:p>
      <w:pPr>
        <w:spacing w:after="120"/>
      </w:pPr>
      <w:r>
        <w:t xml:space="preserve">High (+1.94): 39 interactions were observed in 2025 against a historical median of 16 (95th percentile; Bayesian tail probability 0.048). The rate anomaly was +2.33 (95th percentile) with a 11.3% annual increasing trend over the last 10 years (Negative binomial). The interaction centroid moved 33 km and 5.4% of interactions fell outside the historical 90% area. Ocean context: Chlorophyll-a at the 58th percentile, Distance to seamount at the 74th percentile, SST at the 26th percentile, Sea-level anomaly at the 68th percentile. Causal-diagnostic branch supported by the evidence: cause unclear; demographic (year-class) review needed.</w:t>
      </w:r>
    </w:p>
    <w:p>
      <w:pPr>
        <w:spacing w:after="120"/>
      </w:pPr>
      <w:r>
        <w:rPr>
          <w:i/>
          <w:iCs/>
          <w:color w:val="5A6C7D"/>
          <w:sz w:val="18"/>
          <w:szCs w:val="18"/>
        </w:rPr>
        <w:t xml:space="preserve">Source: rule-based template. Generated 2026-09-25 from aggregated pipeline outputs; not reviewed text.</w:t>
      </w:r>
    </w:p>
    <w:p>
      <w:pPr>
        <w:pStyle w:val="Heading2"/>
      </w:pPr>
      <w:r>
        <w:t xml:space="preserve">3.3.2.3 Summary tables</w:t>
      </w:r>
    </w:p>
    <w:p>
      <w:pPr>
        <w:spacing w:before="160" w:after="80"/>
      </w:pPr>
      <w:r>
        <w:rPr>
          <w:b/>
          <w:bCs/>
          <w:color w:val="21295C"/>
          <w:sz w:val="19"/>
          <w:szCs w:val="19"/>
        </w:rPr>
        <w:t xml:space="preserve">Table 2. Observed interactions, 2025 vs. historical distribution.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3"/>
        <w:gridCol w:w="1153"/>
        <w:gridCol w:w="1153"/>
        <w:gridCol w:w="1153"/>
        <w:gridCol w:w="1153"/>
        <w:gridCol w:w="1153"/>
        <w:gridCol w:w="1153"/>
        <w:gridCol w:w="1153"/>
        <w:gridCol w:w="1153"/>
        <w:gridCol w:w="1153"/>
        <w:gridCol w:w="1153"/>
        <w:gridCol w:w="1157"/>
      </w:tblGrid>
      <w:tr>
        <w:trPr>
          <w:tblHeader/>
        </w:trPr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Species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Current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Mean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Median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P10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P90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Percentile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Robust anomaly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N years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Trend slope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Trend</w:t>
            </w:r>
          </w:p>
        </w:tc>
        <w:tc>
          <w:tcPr>
            <w:tcW w:type="dxa" w:w="1157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Flag</w:t>
            </w:r>
          </w:p>
        </w:tc>
      </w:tr>
      <w:tr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Black-footed albatross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34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26.4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28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5.6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47.4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63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+0.23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19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2.29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Increasing</w:t>
            </w:r>
          </w:p>
        </w:tc>
        <w:tc>
          <w:tcPr>
            <w:tcW w:type="dxa" w:w="1157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Typical</w:t>
            </w:r>
          </w:p>
        </w:tc>
      </w:tr>
      <w:tr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Laysan albatross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54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34.5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36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7.6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58.8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84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+0.76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19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1.00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Increasing</w:t>
            </w:r>
          </w:p>
        </w:tc>
        <w:tc>
          <w:tcPr>
            <w:tcW w:type="dxa" w:w="1157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Typical</w:t>
            </w:r>
          </w:p>
        </w:tc>
      </w:tr>
      <w:tr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Oceanic whitetip shark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46.3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32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0.8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91.2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16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-0.63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19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3.71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Increasing</w:t>
            </w:r>
          </w:p>
        </w:tc>
        <w:tc>
          <w:tcPr>
            <w:tcW w:type="dxa" w:w="1157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Typical</w:t>
            </w:r>
          </w:p>
        </w:tc>
      </w:tr>
      <w:tr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Shortfin mako shark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1121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985.4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975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614.6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1,388.2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63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+0.31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19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44.57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Increasing</w:t>
            </w:r>
          </w:p>
        </w:tc>
        <w:tc>
          <w:tcPr>
            <w:tcW w:type="dxa" w:w="1157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Typical</w:t>
            </w:r>
          </w:p>
        </w:tc>
      </w:tr>
      <w:tr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Leatherback turtle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9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7.3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2.0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13.2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68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+0.67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19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0.45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Increasing</w:t>
            </w:r>
          </w:p>
        </w:tc>
        <w:tc>
          <w:tcPr>
            <w:tcW w:type="dxa" w:w="1157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Typical</w:t>
            </w:r>
          </w:p>
        </w:tc>
      </w:tr>
      <w:tr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Loggerhead turtle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39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16.8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16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4.8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26.2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95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+1.94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19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1.50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Increasing</w:t>
            </w:r>
          </w:p>
        </w:tc>
        <w:tc>
          <w:tcPr>
            <w:tcW w:type="dxa" w:w="1157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High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bCs/>
          <w:color w:val="21295C"/>
          <w:sz w:val="19"/>
          <w:szCs w:val="19"/>
        </w:rPr>
        <w:t xml:space="preserve">Table 2b. Interaction rate per observed set, trend model and centroid shift.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3"/>
        <w:gridCol w:w="1153"/>
        <w:gridCol w:w="1153"/>
        <w:gridCol w:w="1153"/>
        <w:gridCol w:w="1153"/>
        <w:gridCol w:w="1153"/>
        <w:gridCol w:w="1153"/>
        <w:gridCol w:w="1153"/>
        <w:gridCol w:w="1153"/>
        <w:gridCol w:w="1153"/>
        <w:gridCol w:w="1153"/>
        <w:gridCol w:w="1157"/>
      </w:tblGrid>
      <w:tr>
        <w:trPr>
          <w:tblHeader/>
        </w:trPr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Species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Rate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Hist. median rate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Hist. P90 rate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Rate percentile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Rate robust anomaly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Annual % change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Model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Model flag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Trend yrs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Centroid shift km</w:t>
            </w:r>
          </w:p>
        </w:tc>
        <w:tc>
          <w:tcPr>
            <w:tcW w:type="dxa" w:w="1157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% outside hist. 90%</w:t>
            </w:r>
          </w:p>
        </w:tc>
      </w:tr>
      <w:tr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Black-footed albatross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0.0292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0.0233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0.0371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68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+0.32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-0.0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Poisson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Preferred model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127</w:t>
            </w:r>
          </w:p>
        </w:tc>
        <w:tc>
          <w:tcPr>
            <w:tcW w:type="dxa" w:w="1157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0.0</w:t>
            </w:r>
          </w:p>
        </w:tc>
      </w:tr>
      <w:tr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Laysan albatross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0.0463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0.0246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0.0447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90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+1.04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+46.6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Poisson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Preferred model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297</w:t>
            </w:r>
          </w:p>
        </w:tc>
        <w:tc>
          <w:tcPr>
            <w:tcW w:type="dxa" w:w="1157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0.0</w:t>
            </w:r>
          </w:p>
        </w:tc>
      </w:tr>
      <w:tr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Oceanic whitetip shark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0.0026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0.0265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0.0697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16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-0.66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-19.8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Negative binomial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Preferred model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808</w:t>
            </w:r>
          </w:p>
        </w:tc>
        <w:tc>
          <w:tcPr>
            <w:tcW w:type="dxa" w:w="1157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0.0</w:t>
            </w:r>
          </w:p>
        </w:tc>
      </w:tr>
      <w:tr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Shortfin mako shark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0.9614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0.7751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1.0213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74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+0.75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+2.0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Negative binomial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Preferred model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348</w:t>
            </w:r>
          </w:p>
        </w:tc>
        <w:tc>
          <w:tcPr>
            <w:tcW w:type="dxa" w:w="1157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5.9</w:t>
            </w:r>
          </w:p>
        </w:tc>
      </w:tr>
      <w:tr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Leatherback turtle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0.0077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0.0045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0.0097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68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+1.06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+0.5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Poisson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Preferred model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10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224</w:t>
            </w:r>
          </w:p>
        </w:tc>
        <w:tc>
          <w:tcPr>
            <w:tcW w:type="dxa" w:w="1157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12.5</w:t>
            </w:r>
          </w:p>
        </w:tc>
      </w:tr>
      <w:tr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Loggerhead turtle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0.0335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0.0120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0.0200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95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+2.33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+11.3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Negative binomial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Preferred model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10</w:t>
            </w:r>
          </w:p>
        </w:tc>
        <w:tc>
          <w:tcPr>
            <w:tcW w:type="dxa" w:w="1153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33</w:t>
            </w:r>
          </w:p>
        </w:tc>
        <w:tc>
          <w:tcPr>
            <w:tcW w:type="dxa" w:w="1157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5.4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bCs/>
          <w:color w:val="21295C"/>
          <w:sz w:val="19"/>
          <w:szCs w:val="19"/>
        </w:rPr>
        <w:t xml:space="preserve">Table 2c. Environment at interaction sets vs. fleet-wide environment.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4"/>
        <w:gridCol w:w="1384"/>
        <w:gridCol w:w="1384"/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Species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Variable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Current at sets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Hist. median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Abs. anomaly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Current fleet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Selection anomaly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Selection shift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Interaction %ile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shd w:fill="DDE7EE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color w:val="21295C"/>
                <w:sz w:val="16"/>
                <w:szCs w:val="16"/>
              </w:rPr>
              <w:t xml:space="preserve">Selection %ile</w:t>
            </w:r>
          </w:p>
        </w:tc>
      </w:tr>
      <w:tr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Black-footed albatross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Chlorophyll-a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0.130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0.122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+0.008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0.133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-0.003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-0.052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53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16</w:t>
            </w:r>
          </w:p>
        </w:tc>
      </w:tr>
      <w:tr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Black-footed albatross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Distance to seamount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123.909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77.430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+46.479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127.099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-3.190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+37.568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79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63</w:t>
            </w:r>
          </w:p>
        </w:tc>
      </w:tr>
      <w:tr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Black-footed albatross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SST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18.554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19.807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-1.253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18.202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+0.351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+0.629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32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74</w:t>
            </w:r>
          </w:p>
        </w:tc>
      </w:tr>
      <w:tr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Black-footed albatross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Sea-level anomaly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0.048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0.026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+0.022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0.050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-0.002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-0.014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79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26</w:t>
            </w:r>
          </w:p>
        </w:tc>
      </w:tr>
      <w:tr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Laysan albatross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Chlorophyll-a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0.152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0.093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+0.059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0.133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+0.019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+0.025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79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74</w:t>
            </w:r>
          </w:p>
        </w:tc>
      </w:tr>
      <w:tr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Laysan albatross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Distance to seamount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145.523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-13.541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+159.063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127.099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+18.424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-24.047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84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47</w:t>
            </w:r>
          </w:p>
        </w:tc>
      </w:tr>
      <w:tr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Laysan albatross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SST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18.318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19.457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-1.139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18.202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+0.116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+0.111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21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53</w:t>
            </w:r>
          </w:p>
        </w:tc>
      </w:tr>
      <w:tr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Laysan albatross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Sea-level anomaly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0.043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0.025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+0.019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0.050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-0.007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-0.030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68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16</w:t>
            </w:r>
          </w:p>
        </w:tc>
      </w:tr>
      <w:tr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Oceanic whitetip shark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Chlorophyll-a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0.068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0.060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+0.008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0.133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-0.065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-0.095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90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Oceanic whitetip shark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Distance to seamount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32.071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34.850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-2.779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127.099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-95.028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-137.214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16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Oceanic whitetip shark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SST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23.523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24.964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-1.441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18.202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+5.321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+9.553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21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100</w:t>
            </w:r>
          </w:p>
        </w:tc>
      </w:tr>
      <w:tr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Oceanic whitetip shark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Sea-level anomaly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0.163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0.021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+0.142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0.050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+0.114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+0.098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90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79</w:t>
            </w:r>
          </w:p>
        </w:tc>
      </w:tr>
      <w:tr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Shortfin mako shark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Chlorophyll-a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0.153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0.110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+0.043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0.133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+0.020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+0.053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90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90</w:t>
            </w:r>
          </w:p>
        </w:tc>
      </w:tr>
      <w:tr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Shortfin mako shark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Distance to seamount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125.171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87.607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+37.564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127.099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-1.928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+17.143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95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58</w:t>
            </w:r>
          </w:p>
        </w:tc>
      </w:tr>
      <w:tr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Shortfin mako shark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SST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17.704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18.603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-0.900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18.202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-0.499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-1.445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11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Shortfin mako shark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Sea-level anomaly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0.052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0.028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+0.024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0.050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+0.002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+0.020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90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84</w:t>
            </w:r>
          </w:p>
        </w:tc>
      </w:tr>
      <w:tr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Leatherback turtle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Chlorophyll-a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0.094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0.100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-0.007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0.133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-0.039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-0.041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16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Leatherback turtle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Distance to seamount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96.388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77.335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+19.053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127.099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-30.711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-16.835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74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21</w:t>
            </w:r>
          </w:p>
        </w:tc>
      </w:tr>
      <w:tr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Leatherback turtle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SST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19.304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19.583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-0.280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18.202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+1.101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+1.592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37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100</w:t>
            </w:r>
          </w:p>
        </w:tc>
      </w:tr>
      <w:tr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Leatherback turtle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Sea-level anomaly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0.056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0.039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+0.017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0.050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+0.006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+0.005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74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58</w:t>
            </w:r>
          </w:p>
        </w:tc>
      </w:tr>
      <w:tr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Loggerhead turtle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Chlorophyll-a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0.141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0.111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+0.030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0.133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+0.008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+0.039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58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53</w:t>
            </w:r>
          </w:p>
        </w:tc>
      </w:tr>
      <w:tr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Loggerhead turtle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Distance to seamount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136.951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98.487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+38.464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127.099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+9.852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+35.534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74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84</w:t>
            </w:r>
          </w:p>
        </w:tc>
      </w:tr>
      <w:tr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Loggerhead turtle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SST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17.904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18.492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-0.587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18.202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-0.298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-1.201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26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Loggerhead turtle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Sea-level anomaly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0.056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0.043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+0.013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0.050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+0.006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+0.019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68</w:t>
            </w:r>
          </w:p>
        </w:tc>
        <w:tc>
          <w:tcPr>
            <w:tcW w:type="dxa" w:w="1384"/>
            <w:tcBorders>
              <w:top w:val="single" w:color="DDE7EE" w:sz="4"/>
              <w:left w:val="single" w:color="DDE7EE" w:sz="4"/>
              <w:bottom w:val="single" w:color="DDE7EE" w:sz="4"/>
              <w:right w:val="single" w:color="DDE7EE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color w:val="333333"/>
                <w:sz w:val="16"/>
                <w:szCs w:val="16"/>
              </w:rPr>
              <w:t xml:space="preserve">95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Methods and provenance</w:t>
      </w:r>
    </w:p>
    <w:p>
      <w:pPr>
        <w:spacing w:after="120"/>
      </w:pPr>
      <w:r>
        <w:t xml:space="preserve">Robust anomaly = (current − median) ÷ (1.4826 × MAD) over historical years. Percentile = share of historical years strictly below the current value. Trend = log-linear Poisson GLM with observed sets as offset, upgraded to negative binomial when Pearson dispersion exceeds 1.5. Bayesian check = Gamma-Poisson conjugate model with a method-of-moments prior; P(X ≥ current) evaluated by the negative-binomial–incomplete-beta identity. Flag = OR gate over the three tests.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ps_interactions_annual: LOTUS aggregated (synthetic test) (Aggregated; no vessel identifiers)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ps_effort_annual: LOTUS aggregated (synthetic test) (Aggregated)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ps_spatial_annual: LOTUS + observer set positions, aggregated to centroid (synthetic test) (Centroid only; 3-vessel rule N/A)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ps_ocean_annual: ERDDAP/OceanWatch matched to sets, aggregated (synthetic test) (Aggregated)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ctx_*: Workshop topic tables (illustrative) (Illustrative)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ref_summary_*: ps_monitoring_tables_AI.xlsx (reference) (Reference)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ref_its: ILLUSTRATIVE — replace with BiOp ITS (Placeholder)</w:t>
      </w:r>
    </w:p>
    <w:sectPr>
      <w:pgSz w:w="15840" w:h="12240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</w:pPr>
    <w:rPr>
      <w:rFonts w:ascii="Calibri" w:cs="Calibri" w:eastAsia="Calibri" w:hAnsi="Calibri"/>
      <w:b/>
      <w:bCs/>
      <w:color w:val="2129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</w:pPr>
    <w:rPr>
      <w:rFonts w:ascii="Calibri" w:cs="Calibri" w:eastAsia="Calibri" w:hAnsi="Calibri"/>
      <w:b/>
      <w:bCs/>
      <w:color w:val="21295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</w:pPr>
    <w:rPr>
      <w:rFonts w:ascii="Calibri" w:cs="Calibri" w:eastAsia="Calibri" w:hAnsi="Calibri"/>
      <w:b/>
      <w:bCs/>
      <w:color w:val="065A8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Protected Species Section</dc:title>
  <dc:creator>SAFE protected-species pipeline</dc:creator>
  <cp:lastModifiedBy>Un-named</cp:lastModifiedBy>
  <cp:revision>1</cp:revision>
  <dcterms:created xsi:type="dcterms:W3CDTF">2026-09-25T20:35:30.193Z</dcterms:created>
  <dcterms:modified xsi:type="dcterms:W3CDTF">2026-09-25T20:35:30.194Z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