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290F9F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290F9F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52.5pt" fillcolor="yellow [3208]">
            <v:shadow color="#868686"/>
            <v:textpath style="font-family:&quot;Cooper Black&quot;;font-size:20pt;v-text-kern:t" trim="t" fitpath="t" string="PROTOCOLO DE PRÁCTICA&#10;ANÁLISIS DE GLUCEMIA"/>
          </v:shape>
        </w:pict>
      </w:r>
    </w:p>
    <w:p w:rsidR="00975694" w:rsidRPr="00BD0BB0" w:rsidRDefault="00240CD3" w:rsidP="00D84321">
      <w:pPr>
        <w:rPr>
          <w:rFonts w:asciiTheme="majorHAnsi" w:hAnsiTheme="majorHAnsi"/>
          <w:color w:val="808000" w:themeColor="accent5" w:themeShade="80"/>
          <w:sz w:val="28"/>
        </w:rPr>
      </w:pPr>
      <w:r w:rsidRPr="00BD0BB0">
        <w:rPr>
          <w:rFonts w:asciiTheme="majorHAnsi" w:hAnsiTheme="majorHAnsi"/>
          <w:color w:val="808000" w:themeColor="accent5" w:themeShade="80"/>
          <w:sz w:val="28"/>
        </w:rPr>
        <w:t>Práctica de punción capilar</w:t>
      </w:r>
    </w:p>
    <w:p w:rsidR="00D84321" w:rsidRDefault="00240CD3" w:rsidP="00975694">
      <w:pPr>
        <w:pStyle w:val="Prrafodelista"/>
        <w:numPr>
          <w:ilvl w:val="0"/>
          <w:numId w:val="10"/>
        </w:numPr>
      </w:pPr>
      <w:r>
        <w:t>Material</w:t>
      </w:r>
    </w:p>
    <w:p w:rsidR="00D84321" w:rsidRDefault="00240CD3" w:rsidP="00975694">
      <w:pPr>
        <w:pStyle w:val="Prrafodelista"/>
        <w:numPr>
          <w:ilvl w:val="1"/>
          <w:numId w:val="10"/>
        </w:numPr>
      </w:pPr>
      <w:r>
        <w:t>Lanceta</w:t>
      </w:r>
    </w:p>
    <w:p w:rsidR="00D84321" w:rsidRDefault="00240CD3" w:rsidP="00975694">
      <w:pPr>
        <w:pStyle w:val="Prrafodelista"/>
        <w:numPr>
          <w:ilvl w:val="1"/>
          <w:numId w:val="10"/>
        </w:numPr>
      </w:pPr>
      <w:r>
        <w:t>Algodón</w:t>
      </w:r>
    </w:p>
    <w:p w:rsidR="00D84321" w:rsidRDefault="00240CD3" w:rsidP="00975694">
      <w:pPr>
        <w:pStyle w:val="Prrafodelista"/>
        <w:numPr>
          <w:ilvl w:val="1"/>
          <w:numId w:val="10"/>
        </w:numPr>
      </w:pPr>
      <w:r>
        <w:t>Alcohol</w:t>
      </w:r>
    </w:p>
    <w:p w:rsidR="00D84321" w:rsidRDefault="00240CD3" w:rsidP="00975694">
      <w:pPr>
        <w:pStyle w:val="Prrafodelista"/>
        <w:numPr>
          <w:ilvl w:val="0"/>
          <w:numId w:val="10"/>
        </w:numPr>
      </w:pPr>
      <w:r>
        <w:t>Modus operandi</w:t>
      </w:r>
    </w:p>
    <w:p w:rsidR="00D524FC" w:rsidRDefault="00240CD3" w:rsidP="00D524FC">
      <w:pPr>
        <w:pStyle w:val="Prrafodelista"/>
        <w:numPr>
          <w:ilvl w:val="1"/>
          <w:numId w:val="12"/>
        </w:numPr>
      </w:pPr>
      <w:r>
        <w:t>Preparar los materiales en un papel de filtro</w:t>
      </w:r>
    </w:p>
    <w:p w:rsidR="00B87DA4" w:rsidRDefault="00240CD3" w:rsidP="00D524FC">
      <w:pPr>
        <w:pStyle w:val="Prrafodelista"/>
        <w:numPr>
          <w:ilvl w:val="1"/>
          <w:numId w:val="12"/>
        </w:numPr>
      </w:pPr>
      <w:r>
        <w:t>Desinfectar el dedo a punzar con algodón y alcohol</w:t>
      </w:r>
    </w:p>
    <w:p w:rsidR="00D84321" w:rsidRDefault="00240CD3" w:rsidP="00D524FC">
      <w:pPr>
        <w:pStyle w:val="Prrafodelista"/>
        <w:numPr>
          <w:ilvl w:val="1"/>
          <w:numId w:val="12"/>
        </w:numPr>
      </w:pPr>
      <w:r>
        <w:t>Colocar la lanceta en el pulpejo y accionarla</w:t>
      </w:r>
    </w:p>
    <w:p w:rsidR="004C7826" w:rsidRDefault="00240CD3" w:rsidP="00807605">
      <w:pPr>
        <w:pStyle w:val="Prrafodelista"/>
        <w:numPr>
          <w:ilvl w:val="1"/>
          <w:numId w:val="12"/>
        </w:numPr>
      </w:pPr>
      <w:r>
        <w:t>Presionar el dedo para sacar una gota de sangre</w:t>
      </w:r>
    </w:p>
    <w:p w:rsidR="003A0841" w:rsidRDefault="00240CD3" w:rsidP="00807605">
      <w:pPr>
        <w:pStyle w:val="Prrafodelista"/>
        <w:numPr>
          <w:ilvl w:val="1"/>
          <w:numId w:val="12"/>
        </w:numPr>
      </w:pPr>
      <w:r>
        <w:t>Una vez utilizada la muestra, colocar un algodón encima de la punción para cortar el sangrado</w:t>
      </w:r>
    </w:p>
    <w:p w:rsidR="00E30B45" w:rsidRDefault="00E30B45">
      <w:r>
        <w:br w:type="page"/>
      </w:r>
    </w:p>
    <w:p w:rsidR="00D84321" w:rsidRPr="00BD0BB0" w:rsidRDefault="00240CD3" w:rsidP="00D84321">
      <w:pPr>
        <w:rPr>
          <w:rFonts w:asciiTheme="majorHAnsi" w:hAnsiTheme="majorHAnsi"/>
          <w:color w:val="808000" w:themeColor="accent5" w:themeShade="80"/>
          <w:sz w:val="28"/>
        </w:rPr>
      </w:pPr>
      <w:r w:rsidRPr="00BD0BB0">
        <w:rPr>
          <w:rFonts w:asciiTheme="majorHAnsi" w:hAnsiTheme="majorHAnsi"/>
          <w:color w:val="808000" w:themeColor="accent5" w:themeShade="80"/>
          <w:sz w:val="28"/>
        </w:rPr>
        <w:lastRenderedPageBreak/>
        <w:t>Práctica de glucemia</w:t>
      </w:r>
    </w:p>
    <w:p w:rsidR="00D84321" w:rsidRDefault="00240CD3" w:rsidP="00975694">
      <w:pPr>
        <w:pStyle w:val="Prrafodelista"/>
        <w:numPr>
          <w:ilvl w:val="0"/>
          <w:numId w:val="11"/>
        </w:numPr>
      </w:pPr>
      <w:r>
        <w:t>Material</w:t>
      </w:r>
    </w:p>
    <w:p w:rsidR="004C7826" w:rsidRDefault="00240CD3" w:rsidP="004C7826">
      <w:pPr>
        <w:pStyle w:val="Prrafodelista"/>
        <w:numPr>
          <w:ilvl w:val="1"/>
          <w:numId w:val="11"/>
        </w:numPr>
      </w:pPr>
      <w:r>
        <w:t>Tiras para análisis de glucemia</w:t>
      </w:r>
    </w:p>
    <w:p w:rsidR="00240CD3" w:rsidRDefault="00240CD3" w:rsidP="004C7826">
      <w:pPr>
        <w:pStyle w:val="Prrafodelista"/>
        <w:numPr>
          <w:ilvl w:val="1"/>
          <w:numId w:val="11"/>
        </w:numPr>
      </w:pPr>
      <w:proofErr w:type="spellStart"/>
      <w:r>
        <w:t>Multianalizador</w:t>
      </w:r>
      <w:proofErr w:type="spellEnd"/>
    </w:p>
    <w:p w:rsidR="00D271B3" w:rsidRDefault="00240CD3" w:rsidP="004C7826">
      <w:pPr>
        <w:pStyle w:val="Prrafodelista"/>
        <w:numPr>
          <w:ilvl w:val="1"/>
          <w:numId w:val="11"/>
        </w:numPr>
      </w:pPr>
      <w:r>
        <w:t>Material para punción capilar</w:t>
      </w:r>
    </w:p>
    <w:p w:rsidR="00D84321" w:rsidRDefault="00240CD3" w:rsidP="00975694">
      <w:pPr>
        <w:pStyle w:val="Prrafodelista"/>
        <w:numPr>
          <w:ilvl w:val="0"/>
          <w:numId w:val="11"/>
        </w:numPr>
      </w:pPr>
      <w:r>
        <w:t>Modus operandi</w:t>
      </w:r>
    </w:p>
    <w:p w:rsidR="00240CD3" w:rsidRDefault="00240CD3" w:rsidP="003A0841">
      <w:pPr>
        <w:pStyle w:val="Prrafodelista"/>
        <w:numPr>
          <w:ilvl w:val="1"/>
          <w:numId w:val="13"/>
        </w:numPr>
      </w:pPr>
      <w:r>
        <w:t>Insertar el chip del bote tiras</w:t>
      </w:r>
    </w:p>
    <w:p w:rsidR="00240CD3" w:rsidRDefault="00240CD3" w:rsidP="003A0841">
      <w:pPr>
        <w:pStyle w:val="Prrafodelista"/>
        <w:numPr>
          <w:ilvl w:val="1"/>
          <w:numId w:val="13"/>
        </w:numPr>
      </w:pPr>
      <w:r>
        <w:t xml:space="preserve">Encender el </w:t>
      </w:r>
      <w:proofErr w:type="spellStart"/>
      <w:r>
        <w:t>multianalizador</w:t>
      </w:r>
      <w:proofErr w:type="spellEnd"/>
      <w:r>
        <w:t>, comprobar que el número del chip corresponde con el del bote de tiras</w:t>
      </w:r>
    </w:p>
    <w:p w:rsidR="003A0841" w:rsidRDefault="00240CD3" w:rsidP="003A0841">
      <w:pPr>
        <w:pStyle w:val="Prrafodelista"/>
        <w:numPr>
          <w:ilvl w:val="1"/>
          <w:numId w:val="13"/>
        </w:numPr>
      </w:pPr>
      <w:r>
        <w:t xml:space="preserve">Preparar una tira y insertarla, no completamente, en el </w:t>
      </w:r>
      <w:proofErr w:type="spellStart"/>
      <w:r>
        <w:t>multianalizador</w:t>
      </w:r>
      <w:proofErr w:type="spellEnd"/>
    </w:p>
    <w:p w:rsidR="00240CD3" w:rsidRDefault="00240CD3" w:rsidP="003A0841">
      <w:pPr>
        <w:pStyle w:val="Prrafodelista"/>
        <w:numPr>
          <w:ilvl w:val="1"/>
          <w:numId w:val="13"/>
        </w:numPr>
      </w:pPr>
      <w:r>
        <w:t>Realizar la punción capilar y terminar de insertar la tira</w:t>
      </w:r>
    </w:p>
    <w:p w:rsidR="00240CD3" w:rsidRDefault="00240CD3" w:rsidP="003A0841">
      <w:pPr>
        <w:pStyle w:val="Prrafodelista"/>
        <w:numPr>
          <w:ilvl w:val="1"/>
          <w:numId w:val="13"/>
        </w:numPr>
      </w:pPr>
      <w:r>
        <w:t>Colocar la gota de sangre</w:t>
      </w:r>
      <w:r w:rsidR="00B70044">
        <w:t xml:space="preserve"> en la tira y esperar el resultado</w:t>
      </w:r>
    </w:p>
    <w:p w:rsidR="00D84321" w:rsidRDefault="00240CD3" w:rsidP="00975694">
      <w:pPr>
        <w:pStyle w:val="Prrafodelista"/>
        <w:numPr>
          <w:ilvl w:val="0"/>
          <w:numId w:val="11"/>
        </w:numPr>
      </w:pPr>
      <w:r>
        <w:t>Conclusiones</w:t>
      </w:r>
    </w:p>
    <w:tbl>
      <w:tblPr>
        <w:tblStyle w:val="Sombreadoclaro-nfasis5"/>
        <w:tblpPr w:leftFromText="141" w:rightFromText="141" w:vertAnchor="text" w:horzAnchor="margin" w:tblpXSpec="center" w:tblpY="-1"/>
        <w:tblW w:w="0" w:type="auto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1198"/>
        <w:gridCol w:w="2835"/>
        <w:gridCol w:w="2835"/>
      </w:tblGrid>
      <w:tr w:rsidR="00E30B45" w:rsidTr="00E30B45">
        <w:trPr>
          <w:cnfStyle w:val="100000000000"/>
          <w:trHeight w:val="340"/>
        </w:trPr>
        <w:tc>
          <w:tcPr>
            <w:cnfStyle w:val="001000000000"/>
            <w:tcW w:w="1198" w:type="dxa"/>
            <w:tcBorders>
              <w:top w:val="nil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30B45" w:rsidRDefault="00E30B45" w:rsidP="00E30B45">
            <w:pPr>
              <w:jc w:val="center"/>
            </w:pP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E30B45" w:rsidRDefault="00E30B45" w:rsidP="00E30B45">
            <w:pPr>
              <w:jc w:val="center"/>
              <w:cnfStyle w:val="100000000000"/>
            </w:pPr>
            <w:r>
              <w:t>GLUCEMIA (mg/dl)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E30B45" w:rsidRDefault="00E30B45" w:rsidP="00E30B45">
            <w:pPr>
              <w:jc w:val="center"/>
              <w:cnfStyle w:val="100000000000"/>
            </w:pPr>
            <w:r>
              <w:t>B/P</w:t>
            </w:r>
          </w:p>
        </w:tc>
      </w:tr>
      <w:tr w:rsidR="00E30B45" w:rsidTr="00E30B45">
        <w:trPr>
          <w:cnfStyle w:val="000000100000"/>
          <w:trHeight w:val="340"/>
        </w:trPr>
        <w:tc>
          <w:tcPr>
            <w:cnfStyle w:val="001000000000"/>
            <w:tcW w:w="1198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E30B45" w:rsidRDefault="00E30B45" w:rsidP="00E30B45">
            <w:pPr>
              <w:jc w:val="center"/>
            </w:pPr>
            <w:r>
              <w:t>V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30B45" w:rsidRPr="00191A17" w:rsidRDefault="00E30B45" w:rsidP="00E30B45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97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30B45" w:rsidRPr="00191A17" w:rsidRDefault="00E30B45" w:rsidP="00E30B45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P     2,5 h</w:t>
            </w:r>
          </w:p>
        </w:tc>
      </w:tr>
      <w:tr w:rsidR="00E30B45" w:rsidTr="00E30B45">
        <w:trPr>
          <w:trHeight w:val="340"/>
        </w:trPr>
        <w:tc>
          <w:tcPr>
            <w:cnfStyle w:val="001000000000"/>
            <w:tcW w:w="1198" w:type="dxa"/>
            <w:shd w:val="clear" w:color="auto" w:fill="FFFFCC" w:themeFill="accent5" w:themeFillTint="33"/>
            <w:vAlign w:val="center"/>
          </w:tcPr>
          <w:p w:rsidR="00E30B45" w:rsidRDefault="00E30B45" w:rsidP="00E30B45">
            <w:pPr>
              <w:jc w:val="center"/>
            </w:pPr>
            <w:r>
              <w:t>AS</w:t>
            </w:r>
          </w:p>
        </w:tc>
        <w:tc>
          <w:tcPr>
            <w:tcW w:w="2835" w:type="dxa"/>
            <w:vAlign w:val="center"/>
          </w:tcPr>
          <w:p w:rsidR="00E30B45" w:rsidRPr="00191A17" w:rsidRDefault="00E30B45" w:rsidP="00E30B45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79</w:t>
            </w:r>
          </w:p>
        </w:tc>
        <w:tc>
          <w:tcPr>
            <w:tcW w:w="2835" w:type="dxa"/>
            <w:vAlign w:val="center"/>
          </w:tcPr>
          <w:p w:rsidR="00E30B45" w:rsidRPr="00191A17" w:rsidRDefault="00E30B45" w:rsidP="00E30B45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B</w:t>
            </w:r>
          </w:p>
        </w:tc>
      </w:tr>
      <w:tr w:rsidR="00E30B45" w:rsidTr="00E30B45">
        <w:trPr>
          <w:cnfStyle w:val="000000100000"/>
          <w:trHeight w:val="340"/>
        </w:trPr>
        <w:tc>
          <w:tcPr>
            <w:cnfStyle w:val="001000000000"/>
            <w:tcW w:w="1198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E30B45" w:rsidRDefault="00E30B45" w:rsidP="00E30B45">
            <w:pPr>
              <w:jc w:val="center"/>
            </w:pPr>
            <w:r>
              <w:t>ND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30B45" w:rsidRPr="00191A17" w:rsidRDefault="00E30B45" w:rsidP="00E30B45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81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30B45" w:rsidRPr="00191A17" w:rsidRDefault="00E30B45" w:rsidP="00E30B45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P     2,5 h</w:t>
            </w:r>
          </w:p>
        </w:tc>
      </w:tr>
      <w:tr w:rsidR="00E30B45" w:rsidTr="00E30B45">
        <w:trPr>
          <w:trHeight w:val="340"/>
        </w:trPr>
        <w:tc>
          <w:tcPr>
            <w:cnfStyle w:val="001000000000"/>
            <w:tcW w:w="1198" w:type="dxa"/>
            <w:shd w:val="clear" w:color="auto" w:fill="FFFFCC" w:themeFill="accent5" w:themeFillTint="33"/>
            <w:vAlign w:val="center"/>
          </w:tcPr>
          <w:p w:rsidR="00E30B45" w:rsidRDefault="00E30B45" w:rsidP="00E30B45">
            <w:pPr>
              <w:jc w:val="center"/>
            </w:pPr>
            <w:r>
              <w:t>MN</w:t>
            </w:r>
          </w:p>
        </w:tc>
        <w:tc>
          <w:tcPr>
            <w:tcW w:w="2835" w:type="dxa"/>
            <w:vAlign w:val="center"/>
          </w:tcPr>
          <w:p w:rsidR="00E30B45" w:rsidRPr="00191A17" w:rsidRDefault="00E30B45" w:rsidP="00E30B45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90</w:t>
            </w:r>
          </w:p>
        </w:tc>
        <w:tc>
          <w:tcPr>
            <w:tcW w:w="2835" w:type="dxa"/>
            <w:vAlign w:val="center"/>
          </w:tcPr>
          <w:p w:rsidR="00E30B45" w:rsidRPr="00191A17" w:rsidRDefault="00E30B45" w:rsidP="00E30B45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B</w:t>
            </w:r>
          </w:p>
        </w:tc>
      </w:tr>
      <w:tr w:rsidR="00E30B45" w:rsidTr="00E30B45">
        <w:trPr>
          <w:cnfStyle w:val="000000100000"/>
          <w:trHeight w:val="340"/>
        </w:trPr>
        <w:tc>
          <w:tcPr>
            <w:cnfStyle w:val="001000000000"/>
            <w:tcW w:w="1198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E30B45" w:rsidRDefault="00E30B45" w:rsidP="00E30B45">
            <w:pPr>
              <w:jc w:val="center"/>
            </w:pPr>
            <w:r>
              <w:t>MB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30B45" w:rsidRPr="00191A17" w:rsidRDefault="00E30B45" w:rsidP="00E30B45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79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30B45" w:rsidRPr="00191A17" w:rsidRDefault="00E30B45" w:rsidP="00E30B45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B</w:t>
            </w:r>
          </w:p>
        </w:tc>
      </w:tr>
      <w:tr w:rsidR="00E30B45" w:rsidTr="00E30B45">
        <w:trPr>
          <w:trHeight w:val="340"/>
        </w:trPr>
        <w:tc>
          <w:tcPr>
            <w:cnfStyle w:val="001000000000"/>
            <w:tcW w:w="1198" w:type="dxa"/>
            <w:shd w:val="clear" w:color="auto" w:fill="FFFFCC" w:themeFill="accent5" w:themeFillTint="33"/>
            <w:vAlign w:val="center"/>
          </w:tcPr>
          <w:p w:rsidR="00E30B45" w:rsidRDefault="00E30B45" w:rsidP="00E30B45">
            <w:pPr>
              <w:jc w:val="center"/>
            </w:pPr>
            <w:r>
              <w:t>SA</w:t>
            </w:r>
          </w:p>
        </w:tc>
        <w:tc>
          <w:tcPr>
            <w:tcW w:w="2835" w:type="dxa"/>
            <w:vAlign w:val="center"/>
          </w:tcPr>
          <w:p w:rsidR="00E30B45" w:rsidRPr="00191A17" w:rsidRDefault="00E30B45" w:rsidP="00E30B45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86</w:t>
            </w:r>
          </w:p>
        </w:tc>
        <w:tc>
          <w:tcPr>
            <w:tcW w:w="2835" w:type="dxa"/>
            <w:vAlign w:val="center"/>
          </w:tcPr>
          <w:p w:rsidR="00E30B45" w:rsidRPr="00191A17" w:rsidRDefault="00E30B45" w:rsidP="00E30B45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B</w:t>
            </w:r>
          </w:p>
        </w:tc>
      </w:tr>
      <w:tr w:rsidR="00E30B45" w:rsidTr="00E30B45">
        <w:trPr>
          <w:cnfStyle w:val="000000100000"/>
          <w:trHeight w:val="340"/>
        </w:trPr>
        <w:tc>
          <w:tcPr>
            <w:cnfStyle w:val="001000000000"/>
            <w:tcW w:w="1198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E30B45" w:rsidRDefault="00E30B45" w:rsidP="00E30B45">
            <w:pPr>
              <w:jc w:val="center"/>
            </w:pPr>
            <w:r>
              <w:t>SR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30B45" w:rsidRPr="00191A17" w:rsidRDefault="00E30B45" w:rsidP="00E30B45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94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30B45" w:rsidRPr="00191A17" w:rsidRDefault="00E30B45" w:rsidP="00E30B45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P     2,5 h</w:t>
            </w:r>
          </w:p>
        </w:tc>
      </w:tr>
      <w:tr w:rsidR="00E30B45" w:rsidTr="00E30B45">
        <w:trPr>
          <w:trHeight w:val="340"/>
        </w:trPr>
        <w:tc>
          <w:tcPr>
            <w:cnfStyle w:val="001000000000"/>
            <w:tcW w:w="1198" w:type="dxa"/>
            <w:shd w:val="clear" w:color="auto" w:fill="FFFFCC" w:themeFill="accent5" w:themeFillTint="33"/>
            <w:vAlign w:val="center"/>
          </w:tcPr>
          <w:p w:rsidR="00E30B45" w:rsidRDefault="00E30B45" w:rsidP="00E30B45">
            <w:pPr>
              <w:jc w:val="center"/>
            </w:pPr>
            <w:r>
              <w:t>IP</w:t>
            </w:r>
          </w:p>
        </w:tc>
        <w:tc>
          <w:tcPr>
            <w:tcW w:w="2835" w:type="dxa"/>
            <w:vAlign w:val="center"/>
          </w:tcPr>
          <w:p w:rsidR="00E30B45" w:rsidRPr="00191A17" w:rsidRDefault="00E30B45" w:rsidP="00E30B45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121</w:t>
            </w:r>
          </w:p>
        </w:tc>
        <w:tc>
          <w:tcPr>
            <w:tcW w:w="2835" w:type="dxa"/>
            <w:vAlign w:val="center"/>
          </w:tcPr>
          <w:p w:rsidR="00E30B45" w:rsidRPr="00191A17" w:rsidRDefault="00E30B45" w:rsidP="00E30B45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P     40 min</w:t>
            </w:r>
          </w:p>
        </w:tc>
      </w:tr>
      <w:tr w:rsidR="00E30B45" w:rsidTr="00E30B45">
        <w:trPr>
          <w:cnfStyle w:val="000000100000"/>
          <w:trHeight w:val="340"/>
        </w:trPr>
        <w:tc>
          <w:tcPr>
            <w:cnfStyle w:val="001000000000"/>
            <w:tcW w:w="1198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E30B45" w:rsidRDefault="00E30B45" w:rsidP="00E30B45">
            <w:pPr>
              <w:jc w:val="center"/>
            </w:pPr>
            <w:r>
              <w:t>AM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30B45" w:rsidRPr="00191A17" w:rsidRDefault="00E30B45" w:rsidP="00E30B45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94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30B45" w:rsidRPr="00191A17" w:rsidRDefault="00E30B45" w:rsidP="00E30B45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B</w:t>
            </w:r>
          </w:p>
        </w:tc>
      </w:tr>
      <w:tr w:rsidR="00E30B45" w:rsidTr="00E30B45">
        <w:trPr>
          <w:trHeight w:val="340"/>
        </w:trPr>
        <w:tc>
          <w:tcPr>
            <w:cnfStyle w:val="001000000000"/>
            <w:tcW w:w="1198" w:type="dxa"/>
            <w:shd w:val="clear" w:color="auto" w:fill="FFFFCC" w:themeFill="accent5" w:themeFillTint="33"/>
            <w:vAlign w:val="center"/>
          </w:tcPr>
          <w:p w:rsidR="00E30B45" w:rsidRDefault="00E30B45" w:rsidP="00E30B45">
            <w:pPr>
              <w:jc w:val="center"/>
            </w:pPr>
            <w:r>
              <w:t>JF</w:t>
            </w:r>
          </w:p>
        </w:tc>
        <w:tc>
          <w:tcPr>
            <w:tcW w:w="2835" w:type="dxa"/>
            <w:vAlign w:val="center"/>
          </w:tcPr>
          <w:p w:rsidR="00E30B45" w:rsidRPr="00191A17" w:rsidRDefault="00E30B45" w:rsidP="00E30B45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101</w:t>
            </w:r>
          </w:p>
        </w:tc>
        <w:tc>
          <w:tcPr>
            <w:tcW w:w="2835" w:type="dxa"/>
            <w:vAlign w:val="center"/>
          </w:tcPr>
          <w:p w:rsidR="00E30B45" w:rsidRPr="00191A17" w:rsidRDefault="00E30B45" w:rsidP="00E30B45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B</w:t>
            </w:r>
          </w:p>
        </w:tc>
      </w:tr>
      <w:tr w:rsidR="00E30B45" w:rsidTr="00E30B45">
        <w:trPr>
          <w:cnfStyle w:val="000000100000"/>
          <w:trHeight w:val="340"/>
        </w:trPr>
        <w:tc>
          <w:tcPr>
            <w:cnfStyle w:val="001000000000"/>
            <w:tcW w:w="1198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E30B45" w:rsidRDefault="00E30B45" w:rsidP="00E30B45">
            <w:pPr>
              <w:jc w:val="center"/>
            </w:pPr>
            <w:r>
              <w:t>DP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30B45" w:rsidRPr="00191A17" w:rsidRDefault="00E30B45" w:rsidP="00E30B45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88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30B45" w:rsidRPr="00191A17" w:rsidRDefault="00E30B45" w:rsidP="00E30B45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P     40 min</w:t>
            </w:r>
          </w:p>
        </w:tc>
      </w:tr>
      <w:tr w:rsidR="00E30B45" w:rsidTr="00E30B45">
        <w:trPr>
          <w:trHeight w:val="340"/>
        </w:trPr>
        <w:tc>
          <w:tcPr>
            <w:cnfStyle w:val="001000000000"/>
            <w:tcW w:w="1198" w:type="dxa"/>
            <w:shd w:val="clear" w:color="auto" w:fill="FFFFCC" w:themeFill="accent5" w:themeFillTint="33"/>
            <w:vAlign w:val="center"/>
          </w:tcPr>
          <w:p w:rsidR="00E30B45" w:rsidRDefault="00E30B45" w:rsidP="00E30B45">
            <w:pPr>
              <w:jc w:val="center"/>
            </w:pPr>
            <w:r>
              <w:t>PM</w:t>
            </w:r>
          </w:p>
          <w:p w:rsidR="00E30B45" w:rsidRDefault="00E30B45" w:rsidP="00E30B45">
            <w:pPr>
              <w:jc w:val="center"/>
            </w:pPr>
            <w:r>
              <w:t>(diabetes)</w:t>
            </w:r>
          </w:p>
        </w:tc>
        <w:tc>
          <w:tcPr>
            <w:tcW w:w="2835" w:type="dxa"/>
            <w:vAlign w:val="center"/>
          </w:tcPr>
          <w:p w:rsidR="00E30B45" w:rsidRPr="00191A17" w:rsidRDefault="00E30B45" w:rsidP="00E30B45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176</w:t>
            </w:r>
          </w:p>
        </w:tc>
        <w:tc>
          <w:tcPr>
            <w:tcW w:w="2835" w:type="dxa"/>
            <w:vAlign w:val="center"/>
          </w:tcPr>
          <w:p w:rsidR="00E30B45" w:rsidRPr="00191A17" w:rsidRDefault="00E30B45" w:rsidP="00E30B45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P     40 min</w:t>
            </w:r>
          </w:p>
        </w:tc>
      </w:tr>
    </w:tbl>
    <w:p w:rsidR="004C7826" w:rsidRDefault="00E30B45" w:rsidP="00E30B45">
      <w:pPr>
        <w:pStyle w:val="Prrafodelista"/>
      </w:pPr>
      <w:r>
        <w:t>Todas las medidas están dentro de la normalidad, teniendo en cuenta la hora de la comida y las patologías de los pacientes</w:t>
      </w:r>
    </w:p>
    <w:sectPr w:rsidR="004C7826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628" w:rsidRDefault="00AC1628" w:rsidP="005D29D0">
      <w:pPr>
        <w:spacing w:after="0" w:line="240" w:lineRule="auto"/>
      </w:pPr>
      <w:r>
        <w:separator/>
      </w:r>
    </w:p>
  </w:endnote>
  <w:endnote w:type="continuationSeparator" w:id="0">
    <w:p w:rsidR="00AC1628" w:rsidRDefault="00AC1628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290F9F">
        <w:pPr>
          <w:pStyle w:val="Piedepgina"/>
          <w:jc w:val="right"/>
        </w:pPr>
        <w:fldSimple w:instr=" PAGE   \* MERGEFORMAT ">
          <w:r w:rsidR="00E30B45">
            <w:rPr>
              <w:noProof/>
            </w:rPr>
            <w:t>2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628" w:rsidRDefault="00AC1628" w:rsidP="005D29D0">
      <w:pPr>
        <w:spacing w:after="0" w:line="240" w:lineRule="auto"/>
      </w:pPr>
      <w:r>
        <w:separator/>
      </w:r>
    </w:p>
  </w:footnote>
  <w:footnote w:type="continuationSeparator" w:id="0">
    <w:p w:rsidR="00AC1628" w:rsidRDefault="00AC1628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B55AE"/>
    <w:multiLevelType w:val="hybridMultilevel"/>
    <w:tmpl w:val="84289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22B45"/>
    <w:multiLevelType w:val="hybridMultilevel"/>
    <w:tmpl w:val="65445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7208C"/>
    <w:multiLevelType w:val="hybridMultilevel"/>
    <w:tmpl w:val="B0C63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F35B7"/>
    <w:multiLevelType w:val="hybridMultilevel"/>
    <w:tmpl w:val="EA6A7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81606F"/>
    <w:multiLevelType w:val="hybridMultilevel"/>
    <w:tmpl w:val="A9522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7E6B4B"/>
    <w:multiLevelType w:val="hybridMultilevel"/>
    <w:tmpl w:val="C30C3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61E64"/>
    <w:rsid w:val="00003B2A"/>
    <w:rsid w:val="0002216D"/>
    <w:rsid w:val="00086C2B"/>
    <w:rsid w:val="000E2E3E"/>
    <w:rsid w:val="000F0A5A"/>
    <w:rsid w:val="00121F04"/>
    <w:rsid w:val="001C2170"/>
    <w:rsid w:val="001C3264"/>
    <w:rsid w:val="00216F52"/>
    <w:rsid w:val="00240CD3"/>
    <w:rsid w:val="00290F9F"/>
    <w:rsid w:val="002926AE"/>
    <w:rsid w:val="00294A90"/>
    <w:rsid w:val="002C61DF"/>
    <w:rsid w:val="002C650E"/>
    <w:rsid w:val="00372E5A"/>
    <w:rsid w:val="003870C4"/>
    <w:rsid w:val="00390099"/>
    <w:rsid w:val="003A0841"/>
    <w:rsid w:val="004044B5"/>
    <w:rsid w:val="00461955"/>
    <w:rsid w:val="004A6A02"/>
    <w:rsid w:val="004C7826"/>
    <w:rsid w:val="00563BBE"/>
    <w:rsid w:val="005D29D0"/>
    <w:rsid w:val="005F2A45"/>
    <w:rsid w:val="005F5B26"/>
    <w:rsid w:val="0062703E"/>
    <w:rsid w:val="006360A8"/>
    <w:rsid w:val="00661E64"/>
    <w:rsid w:val="00686F6F"/>
    <w:rsid w:val="006A5CFE"/>
    <w:rsid w:val="00724FD9"/>
    <w:rsid w:val="00795A3A"/>
    <w:rsid w:val="00796113"/>
    <w:rsid w:val="007A4E05"/>
    <w:rsid w:val="007D7B98"/>
    <w:rsid w:val="00807605"/>
    <w:rsid w:val="008C194C"/>
    <w:rsid w:val="008E2B51"/>
    <w:rsid w:val="00927C54"/>
    <w:rsid w:val="00975694"/>
    <w:rsid w:val="00995431"/>
    <w:rsid w:val="009B2A9A"/>
    <w:rsid w:val="00A63145"/>
    <w:rsid w:val="00AC1628"/>
    <w:rsid w:val="00AD4063"/>
    <w:rsid w:val="00B06F07"/>
    <w:rsid w:val="00B30E00"/>
    <w:rsid w:val="00B70044"/>
    <w:rsid w:val="00B74E68"/>
    <w:rsid w:val="00B87DA4"/>
    <w:rsid w:val="00BB2743"/>
    <w:rsid w:val="00BD0BB0"/>
    <w:rsid w:val="00C23986"/>
    <w:rsid w:val="00C24894"/>
    <w:rsid w:val="00C375FF"/>
    <w:rsid w:val="00C4510F"/>
    <w:rsid w:val="00C913AB"/>
    <w:rsid w:val="00CE3267"/>
    <w:rsid w:val="00D271B3"/>
    <w:rsid w:val="00D40033"/>
    <w:rsid w:val="00D524FC"/>
    <w:rsid w:val="00D76DC6"/>
    <w:rsid w:val="00D84321"/>
    <w:rsid w:val="00D9007E"/>
    <w:rsid w:val="00DA52E7"/>
    <w:rsid w:val="00DB4176"/>
    <w:rsid w:val="00E30B45"/>
    <w:rsid w:val="00E86A98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5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far\2.2%20FAR\PS\Ejercicio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255BB5-7A26-42F8-BF3B-1EB82044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2501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7</cp:revision>
  <dcterms:created xsi:type="dcterms:W3CDTF">2022-02-25T09:02:00Z</dcterms:created>
  <dcterms:modified xsi:type="dcterms:W3CDTF">2022-03-10T16:52:00Z</dcterms:modified>
</cp:coreProperties>
</file>