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3E42A1" w:rsidP="002E74B9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3E42A1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12.25pt;height:23.25pt" fillcolor="yellow [3208]">
            <v:shadow color="#868686"/>
            <v:textpath style="font-family:&quot;Cooper Black&quot;;font-size:20pt;v-text-kern:t" trim="t" fitpath="t" string="EJERCICIOS TEMA 1"/>
          </v:shape>
        </w:pict>
      </w:r>
    </w:p>
    <w:p w:rsidR="00382FA2" w:rsidRPr="00382FA2" w:rsidRDefault="00382FA2" w:rsidP="00382FA2">
      <w:pPr>
        <w:pStyle w:val="Prrafodelista"/>
        <w:numPr>
          <w:ilvl w:val="0"/>
          <w:numId w:val="8"/>
        </w:numPr>
      </w:pPr>
      <w:r w:rsidRPr="00382FA2">
        <w:t>En Madrid, tenemos una población de 5.964.143 para el año 2004. Calcula la prevalencia de las distintas enfermedades.</w:t>
      </w:r>
    </w:p>
    <w:tbl>
      <w:tblPr>
        <w:tblStyle w:val="Tablaconcuadrcula"/>
        <w:tblW w:w="0" w:type="auto"/>
        <w:tblInd w:w="1242" w:type="dxa"/>
        <w:tblLook w:val="04A0"/>
      </w:tblPr>
      <w:tblGrid>
        <w:gridCol w:w="1413"/>
        <w:gridCol w:w="1422"/>
        <w:gridCol w:w="2552"/>
      </w:tblGrid>
      <w:tr w:rsidR="00382FA2" w:rsidRPr="00382FA2" w:rsidTr="00382FA2">
        <w:tc>
          <w:tcPr>
            <w:tcW w:w="1413" w:type="dxa"/>
          </w:tcPr>
          <w:p w:rsidR="00382FA2" w:rsidRPr="00382FA2" w:rsidRDefault="00382FA2" w:rsidP="00382FA2">
            <w:r w:rsidRPr="00382FA2">
              <w:t>Enfermedad</w:t>
            </w:r>
          </w:p>
        </w:tc>
        <w:tc>
          <w:tcPr>
            <w:tcW w:w="1422" w:type="dxa"/>
          </w:tcPr>
          <w:p w:rsidR="00382FA2" w:rsidRPr="00382FA2" w:rsidRDefault="00382FA2" w:rsidP="00382FA2">
            <w:r w:rsidRPr="00382FA2">
              <w:t>Nº de casos</w:t>
            </w:r>
          </w:p>
        </w:tc>
        <w:tc>
          <w:tcPr>
            <w:tcW w:w="2552" w:type="dxa"/>
          </w:tcPr>
          <w:p w:rsidR="00382FA2" w:rsidRPr="00382FA2" w:rsidRDefault="00382FA2" w:rsidP="00382FA2">
            <w:r w:rsidRPr="00382FA2">
              <w:t>Prevalencia</w:t>
            </w:r>
          </w:p>
        </w:tc>
      </w:tr>
      <w:tr w:rsidR="00382FA2" w:rsidRPr="00382FA2" w:rsidTr="00382FA2">
        <w:tc>
          <w:tcPr>
            <w:tcW w:w="1413" w:type="dxa"/>
          </w:tcPr>
          <w:p w:rsidR="00382FA2" w:rsidRPr="00382FA2" w:rsidRDefault="00382FA2" w:rsidP="00382FA2">
            <w:r w:rsidRPr="00382FA2">
              <w:t>A</w:t>
            </w:r>
          </w:p>
        </w:tc>
        <w:tc>
          <w:tcPr>
            <w:tcW w:w="1422" w:type="dxa"/>
          </w:tcPr>
          <w:p w:rsidR="00382FA2" w:rsidRPr="00382FA2" w:rsidRDefault="00382FA2" w:rsidP="00382FA2">
            <w:r>
              <w:t>5</w:t>
            </w:r>
          </w:p>
        </w:tc>
        <w:tc>
          <w:tcPr>
            <w:tcW w:w="2552" w:type="dxa"/>
          </w:tcPr>
          <w:p w:rsidR="00382FA2" w:rsidRPr="00382FA2" w:rsidRDefault="003E42A1" w:rsidP="00AE4381">
            <w:r>
              <w:rPr>
                <w:noProof/>
                <w:lang w:eastAsia="es-E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135.35pt;margin-top:-.15pt;width:147.5pt;height:43.75pt;z-index:251662336;mso-position-horizontal-relative:text;mso-position-vertical-relative:text;mso-width-relative:margin;mso-height-relative:margin" fillcolor="white [3201]" strokecolor="black [3200]" strokeweight="1pt">
                  <v:stroke dashstyle="dash"/>
                  <v:shadow color="#868686"/>
                  <v:textbox style="mso-next-textbox:#_x0000_s1029">
                    <w:txbxContent>
                      <w:p w:rsidR="001B748D" w:rsidRDefault="001B748D" w:rsidP="001B748D">
                        <w:pPr>
                          <w:jc w:val="center"/>
                        </w:pPr>
                        <w:r>
                          <w:t xml:space="preserve">Formula de la prevalencia: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º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 xml:space="preserve"> de casos 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poblaci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ó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n total</m:t>
                              </m:r>
                            </m:den>
                          </m:f>
                        </m:oMath>
                      </w:p>
                    </w:txbxContent>
                  </v:textbox>
                </v:shape>
              </w:pict>
            </w:r>
            <w:r w:rsidR="00AE4381">
              <w:t>0,000000838</w:t>
            </w:r>
          </w:p>
        </w:tc>
      </w:tr>
      <w:tr w:rsidR="00382FA2" w:rsidRPr="00382FA2" w:rsidTr="00382FA2">
        <w:tc>
          <w:tcPr>
            <w:tcW w:w="1413" w:type="dxa"/>
          </w:tcPr>
          <w:p w:rsidR="00382FA2" w:rsidRPr="00382FA2" w:rsidRDefault="00382FA2" w:rsidP="00382FA2">
            <w:r w:rsidRPr="00382FA2">
              <w:t>B</w:t>
            </w:r>
          </w:p>
        </w:tc>
        <w:tc>
          <w:tcPr>
            <w:tcW w:w="1422" w:type="dxa"/>
          </w:tcPr>
          <w:p w:rsidR="00382FA2" w:rsidRPr="00382FA2" w:rsidRDefault="00382FA2" w:rsidP="00382FA2">
            <w:r>
              <w:t>985.432</w:t>
            </w:r>
          </w:p>
        </w:tc>
        <w:tc>
          <w:tcPr>
            <w:tcW w:w="2552" w:type="dxa"/>
          </w:tcPr>
          <w:p w:rsidR="00382FA2" w:rsidRPr="00382FA2" w:rsidRDefault="00AE4381" w:rsidP="00382FA2">
            <w:r>
              <w:t>0,165</w:t>
            </w:r>
          </w:p>
        </w:tc>
      </w:tr>
      <w:tr w:rsidR="00382FA2" w:rsidRPr="00382FA2" w:rsidTr="00382FA2">
        <w:tc>
          <w:tcPr>
            <w:tcW w:w="1413" w:type="dxa"/>
          </w:tcPr>
          <w:p w:rsidR="00382FA2" w:rsidRPr="00382FA2" w:rsidRDefault="00382FA2" w:rsidP="00382FA2">
            <w:r w:rsidRPr="00382FA2">
              <w:t>C</w:t>
            </w:r>
          </w:p>
        </w:tc>
        <w:tc>
          <w:tcPr>
            <w:tcW w:w="1422" w:type="dxa"/>
          </w:tcPr>
          <w:p w:rsidR="00382FA2" w:rsidRPr="00382FA2" w:rsidRDefault="00382FA2" w:rsidP="00382FA2">
            <w:r>
              <w:t>1.500</w:t>
            </w:r>
          </w:p>
        </w:tc>
        <w:tc>
          <w:tcPr>
            <w:tcW w:w="2552" w:type="dxa"/>
          </w:tcPr>
          <w:p w:rsidR="00382FA2" w:rsidRPr="00382FA2" w:rsidRDefault="00AE4381" w:rsidP="00382FA2">
            <w:r>
              <w:t>0,000251</w:t>
            </w:r>
          </w:p>
        </w:tc>
      </w:tr>
      <w:tr w:rsidR="00382FA2" w:rsidRPr="00382FA2" w:rsidTr="00382FA2">
        <w:tc>
          <w:tcPr>
            <w:tcW w:w="1413" w:type="dxa"/>
          </w:tcPr>
          <w:p w:rsidR="00382FA2" w:rsidRPr="00382FA2" w:rsidRDefault="00382FA2" w:rsidP="00382FA2">
            <w:r w:rsidRPr="00382FA2">
              <w:t>D</w:t>
            </w:r>
          </w:p>
        </w:tc>
        <w:tc>
          <w:tcPr>
            <w:tcW w:w="1422" w:type="dxa"/>
          </w:tcPr>
          <w:p w:rsidR="00382FA2" w:rsidRPr="00382FA2" w:rsidRDefault="00382FA2" w:rsidP="00382FA2">
            <w:r>
              <w:t>234.525</w:t>
            </w:r>
          </w:p>
        </w:tc>
        <w:tc>
          <w:tcPr>
            <w:tcW w:w="2552" w:type="dxa"/>
          </w:tcPr>
          <w:p w:rsidR="00382FA2" w:rsidRPr="00382FA2" w:rsidRDefault="00AE4381" w:rsidP="00382FA2">
            <w:r>
              <w:t>0,0393</w:t>
            </w:r>
          </w:p>
        </w:tc>
      </w:tr>
    </w:tbl>
    <w:p w:rsidR="00382FA2" w:rsidRDefault="00382FA2" w:rsidP="00382FA2"/>
    <w:p w:rsidR="00382FA2" w:rsidRDefault="00382FA2" w:rsidP="00382FA2">
      <w:pPr>
        <w:pStyle w:val="Prrafodelista"/>
        <w:numPr>
          <w:ilvl w:val="0"/>
          <w:numId w:val="8"/>
        </w:numPr>
      </w:pPr>
      <w:r>
        <w:t>Clasifica estos indicadores según la clasificación estudiada</w:t>
      </w:r>
    </w:p>
    <w:tbl>
      <w:tblPr>
        <w:tblStyle w:val="Tablaconcuadrcula"/>
        <w:tblW w:w="9322" w:type="dxa"/>
        <w:tblLook w:val="04A0"/>
      </w:tblPr>
      <w:tblGrid>
        <w:gridCol w:w="1540"/>
        <w:gridCol w:w="1481"/>
        <w:gridCol w:w="1430"/>
        <w:gridCol w:w="1303"/>
        <w:gridCol w:w="1414"/>
        <w:gridCol w:w="2154"/>
      </w:tblGrid>
      <w:tr w:rsidR="001A1186" w:rsidTr="001A1186">
        <w:tc>
          <w:tcPr>
            <w:tcW w:w="3021" w:type="dxa"/>
            <w:gridSpan w:val="2"/>
            <w:vAlign w:val="center"/>
          </w:tcPr>
          <w:p w:rsidR="00D6131B" w:rsidRDefault="00D6131B" w:rsidP="00D6131B">
            <w:pPr>
              <w:jc w:val="center"/>
            </w:pPr>
            <w:r>
              <w:t>INDICADORES DE ESTADO DE SALUD</w:t>
            </w:r>
          </w:p>
        </w:tc>
        <w:tc>
          <w:tcPr>
            <w:tcW w:w="4147" w:type="dxa"/>
            <w:gridSpan w:val="3"/>
            <w:vAlign w:val="center"/>
          </w:tcPr>
          <w:p w:rsidR="00D6131B" w:rsidRDefault="00D6131B" w:rsidP="00D6131B">
            <w:pPr>
              <w:jc w:val="center"/>
            </w:pPr>
            <w:r>
              <w:t>INDICADORES DE DETERMINANTES DE SALUD</w:t>
            </w:r>
          </w:p>
        </w:tc>
        <w:tc>
          <w:tcPr>
            <w:tcW w:w="2154" w:type="dxa"/>
            <w:vMerge w:val="restart"/>
            <w:vAlign w:val="center"/>
          </w:tcPr>
          <w:p w:rsidR="00D6131B" w:rsidRDefault="00D6131B" w:rsidP="00D6131B">
            <w:pPr>
              <w:jc w:val="center"/>
            </w:pPr>
            <w:r>
              <w:t>INDICADORES DEL SISTEMA DE SALUD</w:t>
            </w:r>
          </w:p>
        </w:tc>
      </w:tr>
      <w:tr w:rsidR="00D6131B" w:rsidTr="001A1186">
        <w:tc>
          <w:tcPr>
            <w:tcW w:w="1540" w:type="dxa"/>
            <w:vAlign w:val="center"/>
          </w:tcPr>
          <w:p w:rsidR="00D6131B" w:rsidRDefault="00D6131B" w:rsidP="00D6131B">
            <w:pPr>
              <w:jc w:val="center"/>
            </w:pPr>
            <w:r>
              <w:t>MORTALIDAD</w:t>
            </w:r>
          </w:p>
        </w:tc>
        <w:tc>
          <w:tcPr>
            <w:tcW w:w="1481" w:type="dxa"/>
            <w:vAlign w:val="center"/>
          </w:tcPr>
          <w:p w:rsidR="00D6131B" w:rsidRDefault="00D6131B" w:rsidP="00D6131B">
            <w:pPr>
              <w:jc w:val="center"/>
            </w:pPr>
            <w:r>
              <w:t>MORVILIDAD</w:t>
            </w:r>
          </w:p>
        </w:tc>
        <w:tc>
          <w:tcPr>
            <w:tcW w:w="1430" w:type="dxa"/>
            <w:vAlign w:val="center"/>
          </w:tcPr>
          <w:p w:rsidR="00D6131B" w:rsidRDefault="00D6131B" w:rsidP="00D6131B">
            <w:pPr>
              <w:jc w:val="center"/>
            </w:pPr>
            <w:r>
              <w:t>MEDIO AMBIENTE</w:t>
            </w:r>
          </w:p>
          <w:p w:rsidR="00D6131B" w:rsidRDefault="00D6131B" w:rsidP="00D6131B">
            <w:pPr>
              <w:jc w:val="center"/>
            </w:pPr>
            <w:r>
              <w:t>SOCIAL</w:t>
            </w:r>
          </w:p>
        </w:tc>
        <w:tc>
          <w:tcPr>
            <w:tcW w:w="1303" w:type="dxa"/>
            <w:vAlign w:val="center"/>
          </w:tcPr>
          <w:p w:rsidR="00D6131B" w:rsidRDefault="00D6131B" w:rsidP="00D6131B">
            <w:pPr>
              <w:jc w:val="center"/>
            </w:pPr>
            <w:r>
              <w:t>ESTILO DE VIDA</w:t>
            </w:r>
          </w:p>
        </w:tc>
        <w:tc>
          <w:tcPr>
            <w:tcW w:w="1414" w:type="dxa"/>
            <w:vAlign w:val="center"/>
          </w:tcPr>
          <w:p w:rsidR="00D6131B" w:rsidRDefault="00D6131B" w:rsidP="00D6131B">
            <w:pPr>
              <w:jc w:val="center"/>
            </w:pPr>
            <w:r>
              <w:t>QUIMICO</w:t>
            </w:r>
          </w:p>
        </w:tc>
        <w:tc>
          <w:tcPr>
            <w:tcW w:w="2154" w:type="dxa"/>
            <w:vMerge/>
          </w:tcPr>
          <w:p w:rsidR="00D6131B" w:rsidRDefault="00D6131B" w:rsidP="00D6131B"/>
        </w:tc>
      </w:tr>
      <w:tr w:rsidR="001A1186" w:rsidTr="001A1186">
        <w:tc>
          <w:tcPr>
            <w:tcW w:w="1540" w:type="dxa"/>
          </w:tcPr>
          <w:p w:rsidR="001A1186" w:rsidRDefault="001A1186" w:rsidP="00D6131B">
            <w:r>
              <w:t>Tasa de mortalidad infantil</w:t>
            </w:r>
          </w:p>
          <w:p w:rsidR="001A1186" w:rsidRDefault="001A1186" w:rsidP="00D6131B"/>
          <w:p w:rsidR="001A1186" w:rsidRDefault="001A1186" w:rsidP="00D6131B">
            <w:r>
              <w:t xml:space="preserve">Índice de </w:t>
            </w:r>
            <w:proofErr w:type="spellStart"/>
            <w:r>
              <w:t>Swaroop</w:t>
            </w:r>
            <w:proofErr w:type="spellEnd"/>
          </w:p>
          <w:p w:rsidR="001A1186" w:rsidRDefault="001A1186" w:rsidP="00D6131B"/>
        </w:tc>
        <w:tc>
          <w:tcPr>
            <w:tcW w:w="1481" w:type="dxa"/>
          </w:tcPr>
          <w:p w:rsidR="001A1186" w:rsidRDefault="001A1186" w:rsidP="00D6131B">
            <w:r>
              <w:t>Prevalencia de hepatitis A</w:t>
            </w:r>
          </w:p>
          <w:p w:rsidR="001A1186" w:rsidRDefault="001A1186" w:rsidP="00D6131B"/>
          <w:p w:rsidR="001A1186" w:rsidRDefault="001A1186" w:rsidP="00D6131B">
            <w:r>
              <w:t xml:space="preserve">Proporción de personas con IMC &gt; 25 </w:t>
            </w:r>
          </w:p>
          <w:p w:rsidR="001A1186" w:rsidRDefault="001A1186" w:rsidP="00D6131B"/>
          <w:p w:rsidR="001A1186" w:rsidRDefault="001A1186" w:rsidP="00D6131B"/>
        </w:tc>
        <w:tc>
          <w:tcPr>
            <w:tcW w:w="1430" w:type="dxa"/>
          </w:tcPr>
          <w:p w:rsidR="001A1186" w:rsidRDefault="001A1186" w:rsidP="00D6131B">
            <w:r>
              <w:t>Proporción de viviendas con agua corriente</w:t>
            </w:r>
          </w:p>
          <w:p w:rsidR="001A1186" w:rsidRDefault="001A1186" w:rsidP="00D6131B"/>
          <w:p w:rsidR="001A1186" w:rsidRDefault="001A1186" w:rsidP="001A1186">
            <w:r>
              <w:t>Porcentaje de viviendas con sistema de evacuación de excretas</w:t>
            </w:r>
          </w:p>
          <w:p w:rsidR="001A1186" w:rsidRDefault="001A1186" w:rsidP="00D6131B"/>
          <w:p w:rsidR="001A1186" w:rsidRDefault="001A1186" w:rsidP="00D6131B">
            <w:r>
              <w:t>Tasa de desempleo</w:t>
            </w:r>
          </w:p>
          <w:p w:rsidR="001A1186" w:rsidRDefault="001A1186" w:rsidP="00D6131B"/>
          <w:p w:rsidR="001A1186" w:rsidRDefault="001A1186" w:rsidP="001A1186">
            <w:r>
              <w:t xml:space="preserve">PNB </w:t>
            </w:r>
          </w:p>
          <w:p w:rsidR="001A1186" w:rsidRDefault="001A1186" w:rsidP="00D6131B"/>
          <w:p w:rsidR="001A1186" w:rsidRDefault="001A1186" w:rsidP="00D6131B"/>
        </w:tc>
        <w:tc>
          <w:tcPr>
            <w:tcW w:w="1303" w:type="dxa"/>
          </w:tcPr>
          <w:p w:rsidR="001A1186" w:rsidRDefault="001A1186" w:rsidP="001A1186">
            <w:r>
              <w:t>Consumo de alcohol por habitante y año</w:t>
            </w:r>
          </w:p>
          <w:p w:rsidR="001A1186" w:rsidRDefault="001A1186" w:rsidP="00D6131B"/>
          <w:p w:rsidR="001A1186" w:rsidRDefault="001A1186" w:rsidP="001A1186">
            <w:r>
              <w:t>Consumo de cigarrillos por habitante y año</w:t>
            </w:r>
          </w:p>
          <w:p w:rsidR="001A1186" w:rsidRDefault="001A1186" w:rsidP="00D6131B"/>
        </w:tc>
        <w:tc>
          <w:tcPr>
            <w:tcW w:w="1414" w:type="dxa"/>
          </w:tcPr>
          <w:p w:rsidR="001A1186" w:rsidRDefault="001A1186" w:rsidP="001A1186">
            <w:r>
              <w:t>Niveles medios de compuestos azufrados en el aire</w:t>
            </w:r>
          </w:p>
          <w:p w:rsidR="001A1186" w:rsidRDefault="001A1186" w:rsidP="00D6131B"/>
        </w:tc>
        <w:tc>
          <w:tcPr>
            <w:tcW w:w="2154" w:type="dxa"/>
          </w:tcPr>
          <w:p w:rsidR="001A1186" w:rsidRDefault="001A1186" w:rsidP="001A1186">
            <w:r>
              <w:t>Vacunaciones infantiles por cada 1000 niños</w:t>
            </w:r>
          </w:p>
          <w:p w:rsidR="001A1186" w:rsidRDefault="001A1186" w:rsidP="003E4A1D"/>
          <w:p w:rsidR="001A1186" w:rsidRDefault="001A1186" w:rsidP="001A1186">
            <w:r>
              <w:t>Nº de camas hospitalarias por habitante</w:t>
            </w:r>
          </w:p>
          <w:p w:rsidR="001A1186" w:rsidRDefault="001A1186" w:rsidP="001A1186"/>
          <w:p w:rsidR="001A1186" w:rsidRDefault="001A1186" w:rsidP="001A1186">
            <w:r>
              <w:t>Nº de enfermos de UCI por 100 camas hospitalarias</w:t>
            </w:r>
          </w:p>
          <w:p w:rsidR="001A1186" w:rsidRDefault="001A1186" w:rsidP="001A1186"/>
          <w:p w:rsidR="001A1186" w:rsidRDefault="001A1186" w:rsidP="001A1186">
            <w:r>
              <w:t>Listas de espera en cirugía</w:t>
            </w:r>
          </w:p>
          <w:p w:rsidR="001A1186" w:rsidRDefault="001A1186" w:rsidP="003E4A1D"/>
          <w:p w:rsidR="001A1186" w:rsidRDefault="001A1186" w:rsidP="003E4A1D">
            <w:r>
              <w:t>Proporción de adolescentes que han sido objeto de programas de educación sexual</w:t>
            </w:r>
          </w:p>
          <w:p w:rsidR="001A1186" w:rsidRDefault="001A1186" w:rsidP="003E4A1D"/>
          <w:p w:rsidR="001A1186" w:rsidRDefault="001A1186" w:rsidP="003E4A1D"/>
        </w:tc>
      </w:tr>
    </w:tbl>
    <w:p w:rsidR="003E0876" w:rsidRDefault="003E0876" w:rsidP="00AE4381"/>
    <w:p w:rsidR="001A1186" w:rsidRDefault="001A1186" w:rsidP="00AE4381"/>
    <w:p w:rsidR="00382FA2" w:rsidRDefault="00382FA2" w:rsidP="00382FA2">
      <w:pPr>
        <w:pStyle w:val="Prrafodelista"/>
        <w:numPr>
          <w:ilvl w:val="0"/>
          <w:numId w:val="8"/>
        </w:numPr>
      </w:pPr>
      <w:r>
        <w:t xml:space="preserve">En una población de 128.340 habitantes hay 105 casos de diabetes: </w:t>
      </w:r>
    </w:p>
    <w:p w:rsidR="00382FA2" w:rsidRDefault="00382FA2" w:rsidP="00382FA2">
      <w:pPr>
        <w:pStyle w:val="Prrafodelista"/>
        <w:numPr>
          <w:ilvl w:val="1"/>
          <w:numId w:val="8"/>
        </w:numPr>
      </w:pPr>
      <w:r>
        <w:t>95 fueron diagnosticados antes de 2007</w:t>
      </w:r>
    </w:p>
    <w:p w:rsidR="00382FA2" w:rsidRDefault="003E42A1" w:rsidP="00382FA2">
      <w:pPr>
        <w:pStyle w:val="Prrafodelista"/>
        <w:numPr>
          <w:ilvl w:val="1"/>
          <w:numId w:val="8"/>
        </w:numPr>
      </w:pPr>
      <w:r>
        <w:rPr>
          <w:noProof/>
        </w:rPr>
        <w:pict>
          <v:shape id="_x0000_s1027" type="#_x0000_t202" style="position:absolute;left:0;text-align:left;margin-left:340.7pt;margin-top:4pt;width:147.5pt;height:43.75pt;z-index:251660288;mso-width-relative:margin;mso-height-relative:margin" fillcolor="white [3201]" strokecolor="black [3200]" strokeweight="1pt">
            <v:stroke dashstyle="dash"/>
            <v:shadow color="#868686"/>
            <v:textbox style="mso-next-textbox:#_x0000_s1027">
              <w:txbxContent>
                <w:p w:rsidR="000012D7" w:rsidRDefault="000012D7" w:rsidP="00AE4381">
                  <w:pPr>
                    <w:jc w:val="center"/>
                  </w:pPr>
                  <w:r>
                    <w:t xml:space="preserve">Formula de la prevalencia: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º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de casos 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poblaci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ó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n total</m:t>
                        </m:r>
                      </m:den>
                    </m:f>
                  </m:oMath>
                </w:p>
              </w:txbxContent>
            </v:textbox>
          </v:shape>
        </w:pict>
      </w:r>
      <w:r w:rsidR="00382FA2">
        <w:t>7 fueron diagnosticados en 2007</w:t>
      </w:r>
    </w:p>
    <w:p w:rsidR="00382FA2" w:rsidRDefault="00382FA2" w:rsidP="00382FA2">
      <w:pPr>
        <w:pStyle w:val="Prrafodelista"/>
        <w:numPr>
          <w:ilvl w:val="1"/>
          <w:numId w:val="8"/>
        </w:numPr>
      </w:pPr>
      <w:r>
        <w:t>3 fueron diagnosticados en 2008</w:t>
      </w:r>
    </w:p>
    <w:p w:rsidR="003E0876" w:rsidRDefault="003E0876" w:rsidP="003E0876">
      <w:pPr>
        <w:pStyle w:val="Prrafodelista"/>
      </w:pPr>
      <w:r>
        <w:t xml:space="preserve"> Calcula: </w:t>
      </w:r>
    </w:p>
    <w:p w:rsidR="003E0876" w:rsidRDefault="003E0876" w:rsidP="00382FA2">
      <w:pPr>
        <w:pStyle w:val="Prrafodelista"/>
        <w:numPr>
          <w:ilvl w:val="1"/>
          <w:numId w:val="8"/>
        </w:numPr>
      </w:pPr>
      <w:r>
        <w:t>Prevalencia en 2009</w:t>
      </w:r>
      <w:r w:rsidR="001B748D">
        <w:t>: 0,000818</w:t>
      </w:r>
      <w:r w:rsidR="0098384D">
        <w:t xml:space="preserve"> </w:t>
      </w:r>
      <w:r w:rsidR="0098384D" w:rsidRPr="001A1186">
        <w:rPr>
          <w:rFonts w:ascii="ＭＳ ゴシック" w:eastAsia="ＭＳ ゴシック" w:hAnsi="ＭＳ ゴシック" w:cs="ＭＳ ゴシック" w:hint="eastAsia"/>
        </w:rPr>
        <w:t>➜</w:t>
      </w:r>
      <w:r w:rsidR="001A1186">
        <w:t>8,2 por cada 10000 habitantes</w:t>
      </w:r>
    </w:p>
    <w:p w:rsidR="003E0876" w:rsidRDefault="00382FA2" w:rsidP="003E0876">
      <w:pPr>
        <w:pStyle w:val="Prrafodelista"/>
        <w:numPr>
          <w:ilvl w:val="1"/>
          <w:numId w:val="8"/>
        </w:numPr>
      </w:pPr>
      <w:r>
        <w:lastRenderedPageBreak/>
        <w:t>Prevalencia en 2007</w:t>
      </w:r>
      <w:r w:rsidR="001B748D">
        <w:t>: 0,00074</w:t>
      </w:r>
      <w:r w:rsidR="0098384D">
        <w:t xml:space="preserve"> </w:t>
      </w:r>
      <w:r w:rsidR="0098384D" w:rsidRPr="001A1186">
        <w:rPr>
          <w:rFonts w:ascii="ＭＳ ゴシック" w:eastAsia="ＭＳ ゴシック" w:hAnsi="ＭＳ ゴシック" w:cs="ＭＳ ゴシック" w:hint="eastAsia"/>
        </w:rPr>
        <w:t>➜</w:t>
      </w:r>
      <w:r w:rsidR="0098384D">
        <w:t>7,95 por cada 10000 habitantes</w:t>
      </w:r>
    </w:p>
    <w:p w:rsidR="001A1186" w:rsidRPr="00382FA2" w:rsidRDefault="0098384D" w:rsidP="0098384D">
      <w:pPr>
        <w:pStyle w:val="Prrafodelista"/>
        <w:numPr>
          <w:ilvl w:val="1"/>
          <w:numId w:val="8"/>
        </w:numPr>
      </w:pPr>
      <w:r>
        <w:rPr>
          <w:noProof/>
          <w:lang w:eastAsia="es-ES"/>
        </w:rPr>
        <w:pict>
          <v:shape id="_x0000_s1028" type="#_x0000_t202" style="position:absolute;left:0;text-align:left;margin-left:340.7pt;margin-top:35.75pt;width:147.5pt;height:43.75pt;z-index:251661312;mso-width-relative:margin;mso-height-relative:margin" fillcolor="white [3201]" strokecolor="black [3200]" strokeweight="1pt">
            <v:stroke dashstyle="dash"/>
            <v:shadow color="#868686"/>
            <v:textbox style="mso-next-textbox:#_x0000_s1028">
              <w:txbxContent>
                <w:p w:rsidR="001B748D" w:rsidRDefault="001B748D" w:rsidP="001B748D">
                  <w:pPr>
                    <w:jc w:val="center"/>
                  </w:pPr>
                  <w:r>
                    <w:t xml:space="preserve">Formula de la Incidencia: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º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 xml:space="preserve"> de casos nuevos 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poblaci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ó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n en riesgo</m:t>
                        </m:r>
                      </m:den>
                    </m:f>
                  </m:oMath>
                </w:p>
              </w:txbxContent>
            </v:textbox>
          </v:shape>
        </w:pict>
      </w:r>
      <w:r w:rsidR="00382FA2">
        <w:t>Incidencia acumulada durante 2007</w:t>
      </w:r>
      <w:r w:rsidR="001B748D">
        <w:t xml:space="preserve">: </w:t>
      </w:r>
      <w:r w:rsidR="00AD18D0">
        <w:t>0,0000545</w:t>
      </w:r>
      <w:r>
        <w:t xml:space="preserve"> </w:t>
      </w:r>
      <w:r w:rsidRPr="001A1186">
        <w:rPr>
          <w:rFonts w:ascii="ＭＳ ゴシック" w:eastAsia="ＭＳ ゴシック" w:hAnsi="ＭＳ ゴシック" w:cs="ＭＳ ゴシック" w:hint="eastAsia"/>
        </w:rPr>
        <w:t>➜</w:t>
      </w:r>
      <w:r w:rsidRPr="0098384D">
        <w:t>5,</w:t>
      </w:r>
      <w:r>
        <w:t>5 por cada 100000 habitantes</w:t>
      </w:r>
    </w:p>
    <w:sectPr w:rsidR="001A1186" w:rsidRPr="00382FA2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BCD" w:rsidRDefault="00327BCD" w:rsidP="005D29D0">
      <w:pPr>
        <w:spacing w:after="0" w:line="240" w:lineRule="auto"/>
      </w:pPr>
      <w:r>
        <w:separator/>
      </w:r>
    </w:p>
  </w:endnote>
  <w:endnote w:type="continuationSeparator" w:id="0">
    <w:p w:rsidR="00327BCD" w:rsidRDefault="00327BCD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3E42A1">
        <w:pPr>
          <w:pStyle w:val="Piedepgina"/>
          <w:jc w:val="right"/>
        </w:pPr>
        <w:fldSimple w:instr=" PAGE   \* MERGEFORMAT ">
          <w:r w:rsidR="0098384D">
            <w:rPr>
              <w:noProof/>
            </w:rPr>
            <w:t>2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BCD" w:rsidRDefault="00327BCD" w:rsidP="005D29D0">
      <w:pPr>
        <w:spacing w:after="0" w:line="240" w:lineRule="auto"/>
      </w:pPr>
      <w:r>
        <w:separator/>
      </w:r>
    </w:p>
  </w:footnote>
  <w:footnote w:type="continuationSeparator" w:id="0">
    <w:p w:rsidR="00327BCD" w:rsidRDefault="00327BCD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5D29D0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6104E"/>
    <w:multiLevelType w:val="hybridMultilevel"/>
    <w:tmpl w:val="6A2CB9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E7A2B"/>
    <w:multiLevelType w:val="hybridMultilevel"/>
    <w:tmpl w:val="33EA04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75E6D"/>
    <w:multiLevelType w:val="hybridMultilevel"/>
    <w:tmpl w:val="B27497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95590B"/>
    <w:multiLevelType w:val="hybridMultilevel"/>
    <w:tmpl w:val="88C6B9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0E2536"/>
    <w:multiLevelType w:val="hybridMultilevel"/>
    <w:tmpl w:val="9D7E69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3D6736"/>
    <w:multiLevelType w:val="hybridMultilevel"/>
    <w:tmpl w:val="C35C1C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507442"/>
    <w:multiLevelType w:val="hybridMultilevel"/>
    <w:tmpl w:val="D2A8F85C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1C3CBF"/>
    <w:multiLevelType w:val="hybridMultilevel"/>
    <w:tmpl w:val="7A80EA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AD3AD1"/>
    <w:multiLevelType w:val="hybridMultilevel"/>
    <w:tmpl w:val="82C41D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893B8B"/>
    <w:multiLevelType w:val="hybridMultilevel"/>
    <w:tmpl w:val="E4A8C6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5825C24"/>
    <w:multiLevelType w:val="hybridMultilevel"/>
    <w:tmpl w:val="CE1221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C97B6D"/>
    <w:multiLevelType w:val="hybridMultilevel"/>
    <w:tmpl w:val="CED42D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254478"/>
    <w:multiLevelType w:val="hybridMultilevel"/>
    <w:tmpl w:val="D4EE6C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1A5DD1"/>
    <w:multiLevelType w:val="hybridMultilevel"/>
    <w:tmpl w:val="E07A4B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AF7E53"/>
    <w:multiLevelType w:val="hybridMultilevel"/>
    <w:tmpl w:val="64E06D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C53326"/>
    <w:multiLevelType w:val="hybridMultilevel"/>
    <w:tmpl w:val="025A7F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4E30A5"/>
    <w:multiLevelType w:val="hybridMultilevel"/>
    <w:tmpl w:val="BF221D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845C0A"/>
    <w:multiLevelType w:val="hybridMultilevel"/>
    <w:tmpl w:val="37CE58A6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56CD32F5"/>
    <w:multiLevelType w:val="hybridMultilevel"/>
    <w:tmpl w:val="249E49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5B36D2"/>
    <w:multiLevelType w:val="hybridMultilevel"/>
    <w:tmpl w:val="D02A5EBA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55D47AA"/>
    <w:multiLevelType w:val="hybridMultilevel"/>
    <w:tmpl w:val="1BD655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BD2119"/>
    <w:multiLevelType w:val="hybridMultilevel"/>
    <w:tmpl w:val="EEA02F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985947"/>
    <w:multiLevelType w:val="hybridMultilevel"/>
    <w:tmpl w:val="8BCA4F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5"/>
  </w:num>
  <w:num w:numId="4">
    <w:abstractNumId w:val="24"/>
  </w:num>
  <w:num w:numId="5">
    <w:abstractNumId w:val="10"/>
  </w:num>
  <w:num w:numId="6">
    <w:abstractNumId w:val="3"/>
  </w:num>
  <w:num w:numId="7">
    <w:abstractNumId w:val="5"/>
  </w:num>
  <w:num w:numId="8">
    <w:abstractNumId w:val="7"/>
  </w:num>
  <w:num w:numId="9">
    <w:abstractNumId w:val="21"/>
  </w:num>
  <w:num w:numId="10">
    <w:abstractNumId w:val="13"/>
  </w:num>
  <w:num w:numId="11">
    <w:abstractNumId w:val="15"/>
  </w:num>
  <w:num w:numId="12">
    <w:abstractNumId w:val="17"/>
  </w:num>
  <w:num w:numId="13">
    <w:abstractNumId w:val="20"/>
  </w:num>
  <w:num w:numId="14">
    <w:abstractNumId w:val="22"/>
  </w:num>
  <w:num w:numId="15">
    <w:abstractNumId w:val="9"/>
  </w:num>
  <w:num w:numId="16">
    <w:abstractNumId w:val="23"/>
  </w:num>
  <w:num w:numId="17">
    <w:abstractNumId w:val="18"/>
  </w:num>
  <w:num w:numId="18">
    <w:abstractNumId w:val="19"/>
  </w:num>
  <w:num w:numId="19">
    <w:abstractNumId w:val="11"/>
  </w:num>
  <w:num w:numId="20">
    <w:abstractNumId w:val="2"/>
  </w:num>
  <w:num w:numId="21">
    <w:abstractNumId w:val="26"/>
  </w:num>
  <w:num w:numId="22">
    <w:abstractNumId w:val="29"/>
  </w:num>
  <w:num w:numId="23">
    <w:abstractNumId w:val="28"/>
  </w:num>
  <w:num w:numId="24">
    <w:abstractNumId w:val="1"/>
  </w:num>
  <w:num w:numId="25">
    <w:abstractNumId w:val="27"/>
  </w:num>
  <w:num w:numId="26">
    <w:abstractNumId w:val="0"/>
  </w:num>
  <w:num w:numId="27">
    <w:abstractNumId w:val="16"/>
  </w:num>
  <w:num w:numId="28">
    <w:abstractNumId w:val="6"/>
  </w:num>
  <w:num w:numId="29">
    <w:abstractNumId w:val="14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29D0"/>
    <w:rsid w:val="000012D7"/>
    <w:rsid w:val="00003B2A"/>
    <w:rsid w:val="0002216D"/>
    <w:rsid w:val="00121F04"/>
    <w:rsid w:val="001A1186"/>
    <w:rsid w:val="001B748D"/>
    <w:rsid w:val="001C2170"/>
    <w:rsid w:val="001C3264"/>
    <w:rsid w:val="00216F52"/>
    <w:rsid w:val="00294A90"/>
    <w:rsid w:val="002E74B9"/>
    <w:rsid w:val="00327BCD"/>
    <w:rsid w:val="00382FA2"/>
    <w:rsid w:val="00390099"/>
    <w:rsid w:val="003E0876"/>
    <w:rsid w:val="003E42A1"/>
    <w:rsid w:val="00563BBE"/>
    <w:rsid w:val="005D29D0"/>
    <w:rsid w:val="0062703E"/>
    <w:rsid w:val="006360A8"/>
    <w:rsid w:val="00686F6F"/>
    <w:rsid w:val="00956CFF"/>
    <w:rsid w:val="0098384D"/>
    <w:rsid w:val="00995431"/>
    <w:rsid w:val="009B2A9A"/>
    <w:rsid w:val="00AD18D0"/>
    <w:rsid w:val="00AE4381"/>
    <w:rsid w:val="00B0136D"/>
    <w:rsid w:val="00B06F07"/>
    <w:rsid w:val="00BB2743"/>
    <w:rsid w:val="00C43E15"/>
    <w:rsid w:val="00D6131B"/>
    <w:rsid w:val="00D90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0012D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E48C20-C146-4786-8208-B43F540DA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9</cp:revision>
  <dcterms:created xsi:type="dcterms:W3CDTF">2020-10-10T09:46:00Z</dcterms:created>
  <dcterms:modified xsi:type="dcterms:W3CDTF">2020-10-23T09:44:00Z</dcterms:modified>
</cp:coreProperties>
</file>