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b w:val="false"/>
          <w:bCs w:val="false"/>
        </w:rPr>
      </w:pPr>
      <w:r>
        <w:rPr>
          <w:b w:val="false"/>
          <w:bCs w:val="false"/>
        </w:rPr>
        <w:t>Across national intelligence, scientific R&amp;D, and defense sectors, Indian government agencies have shifted toward actively hiring civilian specialists for offensive cybersecurity, penetration testing, and Red Teaming operations ,</w:t>
      </w:r>
      <w:r>
        <w:rPr>
          <w:b w:val="false"/>
          <w:bCs w:val="false"/>
        </w:rPr>
        <w:t>b</w:t>
      </w:r>
      <w:r>
        <w:rPr>
          <w:b w:val="false"/>
          <w:bCs w:val="false"/>
        </w:rPr>
        <w:t>ecause offensive tactics—such as zero-day vulnerability research, exploit development, and adversary simulation—evolve rapidly in the commercial world, these organizations leverage civilian technical talent alongside traditional military/intelligence cadres.</w:t>
      </w:r>
      <w:r>
        <w:rPr>
          <w:b w:val="false"/>
          <w:bCs w:val="false"/>
        </w:rPr>
        <w:t xml:space="preserve">Following examples </w:t>
      </w:r>
    </w:p>
    <w:p>
      <w:pPr>
        <w:pStyle w:val="BodyText"/>
        <w:bidi w:val="0"/>
        <w:ind w:hanging="0" w:start="0" w:end="0"/>
        <w:jc w:val="start"/>
        <w:rPr>
          <w:b w:val="false"/>
          <w:bCs w:val="false"/>
        </w:rPr>
      </w:pPr>
      <w:r>
        <w:rPr>
          <w:b w:val="false"/>
          <w:bCs w:val="false"/>
        </w:rPr>
        <w:t>wrt organisations are ellaborated:-</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Heading3"/>
        <w:numPr>
          <w:ilvl w:val="0"/>
          <w:numId w:val="0"/>
        </w:numPr>
        <w:bidi w:val="0"/>
        <w:spacing w:before="140" w:after="120"/>
        <w:jc w:val="start"/>
        <w:rPr/>
      </w:pPr>
      <w:r>
        <w:rPr/>
        <w:t>1. NTRO (National Technical Research Organisation)</w:t>
      </w:r>
    </w:p>
    <w:p>
      <w:pPr>
        <w:pStyle w:val="BodyText"/>
        <w:bidi w:val="0"/>
        <w:spacing w:lineRule="auto" w:line="276" w:before="0" w:after="140"/>
        <w:jc w:val="start"/>
        <w:rPr/>
      </w:pPr>
      <w:r>
        <w:rPr/>
        <w:t>As India’s technical intelligence agency, NTRO recruits civilian experts to support state-level cyber operations and technical defense:</w:t>
      </w:r>
    </w:p>
    <w:p>
      <w:pPr>
        <w:pStyle w:val="BodyText"/>
        <w:numPr>
          <w:ilvl w:val="0"/>
          <w:numId w:val="2"/>
        </w:numPr>
        <w:tabs>
          <w:tab w:val="clear" w:pos="709"/>
          <w:tab w:val="left" w:pos="709" w:leader="none"/>
        </w:tabs>
        <w:bidi w:val="0"/>
        <w:ind w:hanging="283" w:start="709"/>
        <w:jc w:val="start"/>
        <w:rPr/>
      </w:pPr>
      <w:r>
        <w:rPr>
          <w:b/>
        </w:rPr>
        <w:t>Direct Hiring &amp; Contracts:</w:t>
      </w:r>
      <w:r>
        <w:rPr/>
        <w:t xml:space="preserve"> NTRO frequently advertises contractual and permanent positions for civilian </w:t>
      </w:r>
      <w:r>
        <w:rPr>
          <w:b/>
        </w:rPr>
        <w:t>Cyber Security Analysts, Penetration Testers, and Security Researchers</w:t>
      </w:r>
      <w:r>
        <w:rPr/>
        <w:t>.</w:t>
      </w:r>
    </w:p>
    <w:p>
      <w:pPr>
        <w:pStyle w:val="BodyText"/>
        <w:numPr>
          <w:ilvl w:val="0"/>
          <w:numId w:val="2"/>
        </w:numPr>
        <w:tabs>
          <w:tab w:val="clear" w:pos="709"/>
          <w:tab w:val="left" w:pos="709" w:leader="none"/>
        </w:tabs>
        <w:bidi w:val="0"/>
        <w:ind w:hanging="283" w:start="709"/>
        <w:jc w:val="start"/>
        <w:rPr/>
      </w:pPr>
      <w:r>
        <w:rPr>
          <w:b/>
        </w:rPr>
        <w:t>Offensive Focus:</w:t>
      </w:r>
      <w:r>
        <w:rPr/>
        <w:t xml:space="preserve"> Civilian consultants perform Vulnerability Assessment &amp; Penetration Testing (VAPT), reverse-engineer malware, identify zero-day flaws, and participate in threat-emulation drills to probe critical national infrastructure (CNI).</w:t>
      </w:r>
    </w:p>
    <w:p>
      <w:pPr>
        <w:pStyle w:val="BodyText"/>
        <w:numPr>
          <w:ilvl w:val="0"/>
          <w:numId w:val="2"/>
        </w:numPr>
        <w:tabs>
          <w:tab w:val="clear" w:pos="709"/>
          <w:tab w:val="left" w:pos="709" w:leader="none"/>
        </w:tabs>
        <w:bidi w:val="0"/>
        <w:ind w:hanging="283" w:start="709"/>
        <w:jc w:val="start"/>
        <w:rPr/>
      </w:pPr>
      <w:r>
        <w:rPr>
          <w:b/>
        </w:rPr>
        <w:t>Specialized Domain Experts:</w:t>
      </w:r>
      <w:r>
        <w:rPr/>
        <w:t xml:space="preserve"> Domain specialists in cryptology, satellite systems, SCADA/ICS security, and wireless offensive security are recruited directly from industry and academia.</w:t>
      </w:r>
    </w:p>
    <w:p>
      <w:pPr>
        <w:pStyle w:val="Heading3"/>
        <w:numPr>
          <w:ilvl w:val="0"/>
          <w:numId w:val="0"/>
        </w:numPr>
        <w:bidi w:val="0"/>
        <w:spacing w:before="140" w:after="120"/>
        <w:jc w:val="start"/>
        <w:rPr/>
      </w:pPr>
      <w:r>
        <w:rPr/>
        <w:t>2. C-DAC (Centre for Development of Advanced Computing)</w:t>
      </w:r>
    </w:p>
    <w:p>
      <w:pPr>
        <w:pStyle w:val="BodyText"/>
        <w:bidi w:val="0"/>
        <w:spacing w:lineRule="auto" w:line="276" w:before="0" w:after="140"/>
        <w:jc w:val="start"/>
        <w:rPr/>
      </w:pPr>
      <w:r>
        <w:rPr/>
        <w:t>Operating under the Ministry of Electronics and Information Technology (MeitY), C-DAC acts as the primary R&amp;D engine for indigenous cyber tools:</w:t>
      </w:r>
    </w:p>
    <w:p>
      <w:pPr>
        <w:pStyle w:val="BodyText"/>
        <w:numPr>
          <w:ilvl w:val="0"/>
          <w:numId w:val="3"/>
        </w:numPr>
        <w:tabs>
          <w:tab w:val="clear" w:pos="709"/>
          <w:tab w:val="left" w:pos="709" w:leader="none"/>
        </w:tabs>
        <w:bidi w:val="0"/>
        <w:ind w:hanging="283" w:start="709"/>
        <w:jc w:val="start"/>
        <w:rPr/>
      </w:pPr>
      <w:r>
        <w:rPr>
          <w:b/>
        </w:rPr>
        <w:t>Civilian R&amp;D Workforce:</w:t>
      </w:r>
      <w:r>
        <w:rPr/>
        <w:t xml:space="preserve"> C-DAC’s cybersecurity teams consist entirely of civilian </w:t>
      </w:r>
      <w:r>
        <w:rPr>
          <w:b/>
        </w:rPr>
        <w:t>Scientists, Project Engineers, and Technical Officers</w:t>
      </w:r>
      <w:r>
        <w:rPr/>
        <w:t>.</w:t>
      </w:r>
    </w:p>
    <w:p>
      <w:pPr>
        <w:pStyle w:val="BodyText"/>
        <w:numPr>
          <w:ilvl w:val="0"/>
          <w:numId w:val="3"/>
        </w:numPr>
        <w:tabs>
          <w:tab w:val="clear" w:pos="709"/>
          <w:tab w:val="left" w:pos="709" w:leader="none"/>
        </w:tabs>
        <w:bidi w:val="0"/>
        <w:ind w:hanging="283" w:start="709"/>
        <w:jc w:val="start"/>
        <w:rPr/>
      </w:pPr>
      <w:r>
        <w:rPr>
          <w:b/>
        </w:rPr>
        <w:t>Red Teaming &amp; Tool Building:</w:t>
      </w:r>
      <w:r>
        <w:rPr/>
        <w:t xml:space="preserve"> Civilian teams inside C-DAC design offensive testing frameworks, emulate advanced persistent threats (APTs), test endpoint resilience, and perform Red Team assessments on critical government networks.</w:t>
      </w:r>
    </w:p>
    <w:p>
      <w:pPr>
        <w:pStyle w:val="BodyText"/>
        <w:numPr>
          <w:ilvl w:val="0"/>
          <w:numId w:val="3"/>
        </w:numPr>
        <w:tabs>
          <w:tab w:val="clear" w:pos="709"/>
          <w:tab w:val="left" w:pos="709" w:leader="none"/>
        </w:tabs>
        <w:bidi w:val="0"/>
        <w:ind w:hanging="283" w:start="709"/>
        <w:jc w:val="start"/>
        <w:rPr/>
      </w:pPr>
      <w:r>
        <w:rPr>
          <w:b/>
        </w:rPr>
        <w:t>Defense Collaboration:</w:t>
      </w:r>
      <w:r>
        <w:rPr/>
        <w:t xml:space="preserve"> C-DAC often collaborates with defense and intelligence agencies to build proprietary penetration testing tools, encryption suites, and cyber warfare simulation platforms.</w:t>
      </w:r>
    </w:p>
    <w:p>
      <w:pPr>
        <w:pStyle w:val="Heading3"/>
        <w:numPr>
          <w:ilvl w:val="0"/>
          <w:numId w:val="0"/>
        </w:numPr>
        <w:bidi w:val="0"/>
        <w:spacing w:before="140" w:after="120"/>
        <w:jc w:val="start"/>
        <w:rPr/>
      </w:pPr>
      <w:r>
        <w:rPr/>
        <w:t>3. Service Cyber Units (Army, Navy, Air Force &amp; DCyA)</w:t>
      </w:r>
    </w:p>
    <w:p>
      <w:pPr>
        <w:pStyle w:val="BodyText"/>
        <w:bidi w:val="0"/>
        <w:spacing w:lineRule="auto" w:line="276" w:before="0" w:after="140"/>
        <w:jc w:val="start"/>
        <w:rPr/>
      </w:pPr>
      <w:r>
        <w:rPr/>
        <w:t xml:space="preserve">While operational command remains with commissioned officers, military cyber groups—including the </w:t>
      </w:r>
      <w:r>
        <w:rPr>
          <w:b/>
        </w:rPr>
        <w:t>Defence Cyber Agency (DCyA)</w:t>
      </w:r>
      <w:r>
        <w:rPr/>
        <w:t xml:space="preserve"> and service-specific cyber commands—recruit civilians for offensive roles through several specialized pathways:</w:t>
      </w:r>
    </w:p>
    <w:p>
      <w:pPr>
        <w:pStyle w:val="BodyText"/>
        <w:numPr>
          <w:ilvl w:val="0"/>
          <w:numId w:val="4"/>
        </w:numPr>
        <w:tabs>
          <w:tab w:val="clear" w:pos="709"/>
          <w:tab w:val="left" w:pos="709" w:leader="none"/>
        </w:tabs>
        <w:bidi w:val="0"/>
        <w:ind w:hanging="283" w:start="709"/>
        <w:jc w:val="start"/>
        <w:rPr/>
      </w:pPr>
      <w:r>
        <w:rPr>
          <w:b/>
        </w:rPr>
        <w:t>Territorial Army (Cyber Warfare Branch):</w:t>
      </w:r>
      <w:r>
        <w:rPr/>
        <w:t xml:space="preserve"> Top civilian ethical hackers, cloud security experts, and threat researchers are inducted directly into the Territorial Army as Officers. This allows them to retain their civilian tech jobs while carrying out offensive cyber operations and exercises for the armed forces.</w:t>
      </w:r>
    </w:p>
    <w:p>
      <w:pPr>
        <w:pStyle w:val="BodyText"/>
        <w:numPr>
          <w:ilvl w:val="0"/>
          <w:numId w:val="4"/>
        </w:numPr>
        <w:tabs>
          <w:tab w:val="clear" w:pos="709"/>
          <w:tab w:val="left" w:pos="709" w:leader="none"/>
        </w:tabs>
        <w:bidi w:val="0"/>
        <w:ind w:hanging="283" w:start="709"/>
        <w:jc w:val="start"/>
        <w:rPr/>
      </w:pPr>
      <w:r>
        <w:rPr>
          <w:b/>
        </w:rPr>
        <w:t>Direct Cyber Entry Schemes:</w:t>
      </w:r>
      <w:r>
        <w:rPr/>
        <w:t xml:space="preserve"> The Indian Army has launched dedicated recruitment entries for civilian cyber experts (at Officer and NCO levels) to handle advanced information warfare and cyber defense/offense.</w:t>
      </w:r>
    </w:p>
    <w:p>
      <w:pPr>
        <w:pStyle w:val="BodyText"/>
        <w:numPr>
          <w:ilvl w:val="0"/>
          <w:numId w:val="4"/>
        </w:numPr>
        <w:tabs>
          <w:tab w:val="clear" w:pos="709"/>
          <w:tab w:val="left" w:pos="709" w:leader="none"/>
        </w:tabs>
        <w:bidi w:val="0"/>
        <w:ind w:hanging="283" w:start="709"/>
        <w:jc w:val="start"/>
        <w:rPr/>
      </w:pPr>
      <w:r>
        <w:rPr>
          <w:b/>
        </w:rPr>
        <w:t>iDEX &amp; Project Contracting:</w:t>
      </w:r>
      <w:r>
        <w:rPr/>
        <w:t xml:space="preserve"> Through schemes like </w:t>
      </w:r>
      <w:r>
        <w:rPr>
          <w:b/>
        </w:rPr>
        <w:t>iDEX (Innovations for Defence Excellence)</w:t>
      </w:r>
      <w:r>
        <w:rPr/>
        <w:t xml:space="preserve"> and </w:t>
      </w:r>
      <w:r>
        <w:rPr>
          <w:b/>
        </w:rPr>
        <w:t>NIIO (Naval Innovation and Indigenisation Organisation)</w:t>
      </w:r>
      <w:r>
        <w:rPr/>
        <w:t>, the armed forces contract civilian cybersecurity startups and individual researchers for project-based Red Teaming, hardware vulnerability testing, and custom exploit development.</w:t>
      </w:r>
    </w:p>
    <w:p>
      <w:pPr>
        <w:pStyle w:val="BlockQuotation"/>
        <w:bidi w:val="0"/>
        <w:spacing w:before="0" w:after="283"/>
        <w:ind w:hanging="0" w:start="567" w:end="567"/>
        <w:jc w:val="start"/>
        <w:rPr/>
      </w:pPr>
      <w:r>
        <w:rPr>
          <w:b/>
        </w:rPr>
        <w:t>Summary Takeaway:</w:t>
      </w:r>
      <w:r>
        <w:rPr/>
        <w:t xml:space="preserve"> The line between traditional military operators and civilian tech talent has blurred in the cyber domain. Whether through direct contractual hiring (NTRO), scientific research posts (C-DAC), or specialized reserve/TA units and defense entry schemes (Service Cyber Units), civilian Red Teamers and offensive security specialists are actively involved in building and executing India's strategic cyber capabilities.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tbl>
      <w:tblPr>
        <w:tblW w:w="9972" w:type="dxa"/>
        <w:jc w:val="start"/>
        <w:tblInd w:w="0" w:type="dxa"/>
        <w:tblLayout w:type="fixed"/>
        <w:tblCellMar>
          <w:top w:w="28" w:type="dxa"/>
          <w:start w:w="28" w:type="dxa"/>
          <w:bottom w:w="28" w:type="dxa"/>
          <w:end w:w="28" w:type="dxa"/>
        </w:tblCellMar>
      </w:tblPr>
      <w:tblGrid>
        <w:gridCol w:w="3016"/>
        <w:gridCol w:w="1507"/>
        <w:gridCol w:w="1019"/>
        <w:gridCol w:w="1136"/>
        <w:gridCol w:w="3294"/>
      </w:tblGrid>
      <w:tr>
        <w:trPr>
          <w:tblHeader w:val="true"/>
        </w:trPr>
        <w:tc>
          <w:tcPr>
            <w:tcW w:w="3016" w:type="dxa"/>
            <w:tcBorders/>
            <w:vAlign w:val="center"/>
          </w:tcPr>
          <w:p>
            <w:pPr>
              <w:pStyle w:val="TableHeading"/>
              <w:suppressLineNumbers/>
              <w:bidi w:val="0"/>
              <w:jc w:val="center"/>
              <w:rPr/>
            </w:pPr>
            <w:r>
              <w:rPr/>
              <w:t>Organization</w:t>
            </w:r>
          </w:p>
        </w:tc>
        <w:tc>
          <w:tcPr>
            <w:tcW w:w="1507" w:type="dxa"/>
            <w:tcBorders/>
            <w:vAlign w:val="center"/>
          </w:tcPr>
          <w:p>
            <w:pPr>
              <w:pStyle w:val="TableHeading"/>
              <w:bidi w:val="0"/>
              <w:jc w:val="center"/>
              <w:rPr/>
            </w:pPr>
            <w:r>
              <w:rPr/>
              <w:t>Red Team / Offensive</w:t>
            </w:r>
          </w:p>
        </w:tc>
        <w:tc>
          <w:tcPr>
            <w:tcW w:w="1019" w:type="dxa"/>
            <w:tcBorders/>
            <w:vAlign w:val="center"/>
          </w:tcPr>
          <w:p>
            <w:pPr>
              <w:pStyle w:val="TableHeading"/>
              <w:bidi w:val="0"/>
              <w:jc w:val="center"/>
              <w:rPr/>
            </w:pPr>
            <w:r>
              <w:rPr/>
              <w:t>Purple Team</w:t>
            </w:r>
          </w:p>
        </w:tc>
        <w:tc>
          <w:tcPr>
            <w:tcW w:w="1136" w:type="dxa"/>
            <w:tcBorders/>
            <w:vAlign w:val="center"/>
          </w:tcPr>
          <w:p>
            <w:pPr>
              <w:pStyle w:val="TableHeading"/>
              <w:bidi w:val="0"/>
              <w:jc w:val="center"/>
              <w:rPr/>
            </w:pPr>
            <w:r>
              <w:rPr/>
              <w:t>Blue Team / DFIR</w:t>
            </w:r>
          </w:p>
        </w:tc>
        <w:tc>
          <w:tcPr>
            <w:tcW w:w="3294" w:type="dxa"/>
            <w:tcBorders/>
            <w:vAlign w:val="center"/>
          </w:tcPr>
          <w:p>
            <w:pPr>
              <w:pStyle w:val="TableHeading"/>
              <w:suppressLineNumbers/>
              <w:bidi w:val="0"/>
              <w:jc w:val="center"/>
              <w:rPr/>
            </w:pPr>
            <w:r>
              <w:rPr/>
              <w:t>Recruitment</w:t>
            </w:r>
          </w:p>
        </w:tc>
      </w:tr>
      <w:tr>
        <w:trPr/>
        <w:tc>
          <w:tcPr>
            <w:tcW w:w="3016" w:type="dxa"/>
            <w:tcBorders/>
            <w:vAlign w:val="center"/>
          </w:tcPr>
          <w:p>
            <w:pPr>
              <w:pStyle w:val="TableContents"/>
              <w:widowControl w:val="false"/>
              <w:suppressLineNumbers/>
              <w:bidi w:val="0"/>
              <w:jc w:val="start"/>
              <w:rPr/>
            </w:pPr>
            <w:r>
              <w:rPr/>
              <w:t>Indian Computer Emergency Response Team (CERT-In)</w:t>
            </w:r>
          </w:p>
        </w:tc>
        <w:tc>
          <w:tcPr>
            <w:tcW w:w="1507" w:type="dxa"/>
            <w:tcBorders/>
            <w:vAlign w:val="center"/>
          </w:tcPr>
          <w:p>
            <w:pPr>
              <w:pStyle w:val="TableContents"/>
              <w:bidi w:val="0"/>
              <w:jc w:val="center"/>
              <w:rPr/>
            </w:pPr>
            <w:r>
              <w:rPr/>
              <w:t>Limited</w:t>
            </w:r>
          </w:p>
        </w:tc>
        <w:tc>
          <w:tcPr>
            <w:tcW w:w="1019" w:type="dxa"/>
            <w:tcBorders/>
            <w:vAlign w:val="center"/>
          </w:tcPr>
          <w:p>
            <w:pPr>
              <w:pStyle w:val="TableContents"/>
              <w:bidi w:val="0"/>
              <w:jc w:val="center"/>
              <w:rPr/>
            </w:pPr>
            <w:r>
              <w:rPr/>
              <w:t>✓</w:t>
            </w:r>
          </w:p>
        </w:tc>
        <w:tc>
          <w:tcPr>
            <w:tcW w:w="1136" w:type="dxa"/>
            <w:tcBorders/>
            <w:vAlign w:val="center"/>
          </w:tcPr>
          <w:p>
            <w:pPr>
              <w:pStyle w:val="TableContents"/>
              <w:bidi w:val="0"/>
              <w:jc w:val="center"/>
              <w:rPr/>
            </w:pPr>
            <w:r>
              <w:rPr/>
              <w:t>✓✓✓</w:t>
            </w:r>
          </w:p>
        </w:tc>
        <w:tc>
          <w:tcPr>
            <w:tcW w:w="3294" w:type="dxa"/>
            <w:tcBorders/>
            <w:vAlign w:val="center"/>
          </w:tcPr>
          <w:p>
            <w:pPr>
              <w:pStyle w:val="TableContents"/>
              <w:widowControl w:val="false"/>
              <w:suppressLineNumbers/>
              <w:bidi w:val="0"/>
              <w:jc w:val="start"/>
              <w:rPr/>
            </w:pPr>
            <w:r>
              <w:rPr/>
              <w:t>Direct recruitment, deputation, contractual roles (</w:t>
            </w:r>
            <w:hyperlink r:id="rId2">
              <w:r>
                <w:rPr>
                  <w:rStyle w:val="Hyperlink"/>
                </w:rPr>
                <w:t>Press Information Bureau</w:t>
              </w:r>
            </w:hyperlink>
            <w:r>
              <w:rPr/>
              <w:t>)</w:t>
            </w:r>
          </w:p>
        </w:tc>
      </w:tr>
      <w:tr>
        <w:trPr/>
        <w:tc>
          <w:tcPr>
            <w:tcW w:w="3016" w:type="dxa"/>
            <w:tcBorders/>
            <w:vAlign w:val="center"/>
          </w:tcPr>
          <w:p>
            <w:pPr>
              <w:pStyle w:val="TableContents"/>
              <w:widowControl w:val="false"/>
              <w:suppressLineNumbers/>
              <w:bidi w:val="0"/>
              <w:jc w:val="start"/>
              <w:rPr/>
            </w:pPr>
            <w:r>
              <w:rPr/>
              <w:t>Indian Cyber Crime Coordination Centre (I4C)</w:t>
            </w:r>
          </w:p>
        </w:tc>
        <w:tc>
          <w:tcPr>
            <w:tcW w:w="1507" w:type="dxa"/>
            <w:tcBorders/>
            <w:vAlign w:val="center"/>
          </w:tcPr>
          <w:p>
            <w:pPr>
              <w:pStyle w:val="TableContents"/>
              <w:bidi w:val="0"/>
              <w:jc w:val="center"/>
              <w:rPr/>
            </w:pPr>
            <w:r>
              <w:rPr/>
              <w:t>✓</w:t>
            </w:r>
          </w:p>
        </w:tc>
        <w:tc>
          <w:tcPr>
            <w:tcW w:w="1019" w:type="dxa"/>
            <w:tcBorders/>
            <w:vAlign w:val="center"/>
          </w:tcPr>
          <w:p>
            <w:pPr>
              <w:pStyle w:val="TableContents"/>
              <w:bidi w:val="0"/>
              <w:jc w:val="center"/>
              <w:rPr/>
            </w:pPr>
            <w:r>
              <w:rPr/>
              <w:t>✓</w:t>
            </w:r>
          </w:p>
        </w:tc>
        <w:tc>
          <w:tcPr>
            <w:tcW w:w="1136" w:type="dxa"/>
            <w:tcBorders/>
            <w:vAlign w:val="center"/>
          </w:tcPr>
          <w:p>
            <w:pPr>
              <w:pStyle w:val="TableContents"/>
              <w:bidi w:val="0"/>
              <w:jc w:val="center"/>
              <w:rPr/>
            </w:pPr>
            <w:r>
              <w:rPr/>
              <w:t>✓✓✓</w:t>
            </w:r>
          </w:p>
        </w:tc>
        <w:tc>
          <w:tcPr>
            <w:tcW w:w="3294" w:type="dxa"/>
            <w:tcBorders/>
            <w:vAlign w:val="center"/>
          </w:tcPr>
          <w:p>
            <w:pPr>
              <w:pStyle w:val="TableContents"/>
              <w:widowControl w:val="false"/>
              <w:suppressLineNumbers/>
              <w:bidi w:val="0"/>
              <w:jc w:val="start"/>
              <w:rPr/>
            </w:pPr>
            <w:r>
              <w:rPr/>
              <w:t>Contractual technical professionals, MHA recruitment (</w:t>
            </w:r>
            <w:hyperlink r:id="rId3">
              <w:r>
                <w:rPr>
                  <w:rStyle w:val="Hyperlink"/>
                </w:rPr>
                <w:t>Ministry of Home Affairs</w:t>
              </w:r>
            </w:hyperlink>
            <w:r>
              <w:rPr/>
              <w:t>)</w:t>
            </w:r>
          </w:p>
        </w:tc>
      </w:tr>
      <w:tr>
        <w:trPr/>
        <w:tc>
          <w:tcPr>
            <w:tcW w:w="3016" w:type="dxa"/>
            <w:tcBorders/>
            <w:vAlign w:val="center"/>
          </w:tcPr>
          <w:p>
            <w:pPr>
              <w:pStyle w:val="TableContents"/>
              <w:widowControl w:val="false"/>
              <w:suppressLineNumbers/>
              <w:bidi w:val="0"/>
              <w:jc w:val="start"/>
              <w:rPr/>
            </w:pPr>
            <w:r>
              <w:rPr/>
              <w:t>National Critical Information Infrastructure Protection Centre (NCIIPC)</w:t>
            </w:r>
          </w:p>
        </w:tc>
        <w:tc>
          <w:tcPr>
            <w:tcW w:w="1507" w:type="dxa"/>
            <w:tcBorders/>
            <w:vAlign w:val="center"/>
          </w:tcPr>
          <w:p>
            <w:pPr>
              <w:pStyle w:val="TableContents"/>
              <w:bidi w:val="0"/>
              <w:jc w:val="center"/>
              <w:rPr/>
            </w:pPr>
            <w:r>
              <w:rPr/>
              <w:t>Limited</w:t>
            </w:r>
          </w:p>
        </w:tc>
        <w:tc>
          <w:tcPr>
            <w:tcW w:w="1019" w:type="dxa"/>
            <w:tcBorders/>
            <w:vAlign w:val="center"/>
          </w:tcPr>
          <w:p>
            <w:pPr>
              <w:pStyle w:val="TableContents"/>
              <w:bidi w:val="0"/>
              <w:jc w:val="center"/>
              <w:rPr/>
            </w:pPr>
            <w:r>
              <w:rPr/>
              <w:t>✓</w:t>
            </w:r>
          </w:p>
        </w:tc>
        <w:tc>
          <w:tcPr>
            <w:tcW w:w="1136" w:type="dxa"/>
            <w:tcBorders/>
            <w:vAlign w:val="center"/>
          </w:tcPr>
          <w:p>
            <w:pPr>
              <w:pStyle w:val="TableContents"/>
              <w:bidi w:val="0"/>
              <w:jc w:val="center"/>
              <w:rPr/>
            </w:pPr>
            <w:r>
              <w:rPr/>
              <w:t>✓✓✓</w:t>
            </w:r>
          </w:p>
        </w:tc>
        <w:tc>
          <w:tcPr>
            <w:tcW w:w="3294" w:type="dxa"/>
            <w:tcBorders/>
            <w:vAlign w:val="center"/>
          </w:tcPr>
          <w:p>
            <w:pPr>
              <w:pStyle w:val="TableContents"/>
              <w:widowControl w:val="false"/>
              <w:suppressLineNumbers/>
              <w:bidi w:val="0"/>
              <w:jc w:val="start"/>
              <w:rPr/>
            </w:pPr>
            <w:r>
              <w:rPr/>
              <w:t>Through NTRO/Government recruitment (</w:t>
            </w:r>
            <w:hyperlink r:id="rId4">
              <w:r>
                <w:rPr>
                  <w:rStyle w:val="Hyperlink"/>
                </w:rPr>
                <w:t>Press Information Bureau</w:t>
              </w:r>
            </w:hyperlink>
            <w:r>
              <w:rPr/>
              <w:t>)</w:t>
            </w:r>
          </w:p>
        </w:tc>
      </w:tr>
      <w:tr>
        <w:trPr/>
        <w:tc>
          <w:tcPr>
            <w:tcW w:w="3016" w:type="dxa"/>
            <w:tcBorders/>
            <w:vAlign w:val="center"/>
          </w:tcPr>
          <w:p>
            <w:pPr>
              <w:pStyle w:val="TableContents"/>
              <w:widowControl w:val="false"/>
              <w:suppressLineNumbers/>
              <w:bidi w:val="0"/>
              <w:jc w:val="start"/>
              <w:rPr/>
            </w:pPr>
            <w:r>
              <w:rPr/>
              <w:t>National Technical Research Organisation (NTRO)</w:t>
            </w:r>
          </w:p>
        </w:tc>
        <w:tc>
          <w:tcPr>
            <w:tcW w:w="1507" w:type="dxa"/>
            <w:tcBorders/>
            <w:vAlign w:val="center"/>
          </w:tcPr>
          <w:p>
            <w:pPr>
              <w:pStyle w:val="TableContents"/>
              <w:bidi w:val="0"/>
              <w:jc w:val="center"/>
              <w:rPr/>
            </w:pPr>
            <w:r>
              <w:rPr/>
              <w:t>✓✓✓</w:t>
            </w:r>
          </w:p>
        </w:tc>
        <w:tc>
          <w:tcPr>
            <w:tcW w:w="1019" w:type="dxa"/>
            <w:tcBorders/>
            <w:vAlign w:val="center"/>
          </w:tcPr>
          <w:p>
            <w:pPr>
              <w:pStyle w:val="TableContents"/>
              <w:bidi w:val="0"/>
              <w:jc w:val="center"/>
              <w:rPr/>
            </w:pPr>
            <w:r>
              <w:rPr/>
              <w:t>✓</w:t>
            </w:r>
          </w:p>
        </w:tc>
        <w:tc>
          <w:tcPr>
            <w:tcW w:w="1136" w:type="dxa"/>
            <w:tcBorders/>
            <w:vAlign w:val="center"/>
          </w:tcPr>
          <w:p>
            <w:pPr>
              <w:pStyle w:val="TableContents"/>
              <w:bidi w:val="0"/>
              <w:jc w:val="center"/>
              <w:rPr/>
            </w:pPr>
            <w:r>
              <w:rPr/>
              <w:t>✓</w:t>
            </w:r>
          </w:p>
        </w:tc>
        <w:tc>
          <w:tcPr>
            <w:tcW w:w="3294" w:type="dxa"/>
            <w:tcBorders/>
            <w:vAlign w:val="center"/>
          </w:tcPr>
          <w:p>
            <w:pPr>
              <w:pStyle w:val="TableContents"/>
              <w:widowControl w:val="false"/>
              <w:suppressLineNumbers/>
              <w:bidi w:val="0"/>
              <w:jc w:val="start"/>
              <w:rPr/>
            </w:pPr>
            <w:r>
              <w:rPr/>
              <w:t>Direct recruitment and deputation (</w:t>
            </w:r>
            <w:hyperlink r:id="rId5">
              <w:r>
                <w:rPr>
                  <w:rStyle w:val="Hyperlink"/>
                </w:rPr>
                <w:t>Press Information Bureau</w:t>
              </w:r>
            </w:hyperlink>
            <w:r>
              <w:rPr/>
              <w:t>)</w:t>
            </w:r>
          </w:p>
        </w:tc>
      </w:tr>
      <w:tr>
        <w:trPr/>
        <w:tc>
          <w:tcPr>
            <w:tcW w:w="3016" w:type="dxa"/>
            <w:tcBorders/>
            <w:vAlign w:val="center"/>
          </w:tcPr>
          <w:p>
            <w:pPr>
              <w:pStyle w:val="TableContents"/>
              <w:widowControl w:val="false"/>
              <w:suppressLineNumbers/>
              <w:bidi w:val="0"/>
              <w:jc w:val="start"/>
              <w:rPr/>
            </w:pPr>
            <w:r>
              <w:rPr/>
              <w:t>Defence Cyber Agency</w:t>
            </w:r>
          </w:p>
        </w:tc>
        <w:tc>
          <w:tcPr>
            <w:tcW w:w="1507" w:type="dxa"/>
            <w:tcBorders/>
            <w:vAlign w:val="center"/>
          </w:tcPr>
          <w:p>
            <w:pPr>
              <w:pStyle w:val="TableContents"/>
              <w:bidi w:val="0"/>
              <w:jc w:val="center"/>
              <w:rPr/>
            </w:pPr>
            <w:r>
              <w:rPr/>
              <w:t>✓✓✓</w:t>
            </w:r>
          </w:p>
        </w:tc>
        <w:tc>
          <w:tcPr>
            <w:tcW w:w="1019" w:type="dxa"/>
            <w:tcBorders/>
            <w:vAlign w:val="center"/>
          </w:tcPr>
          <w:p>
            <w:pPr>
              <w:pStyle w:val="TableContents"/>
              <w:bidi w:val="0"/>
              <w:jc w:val="center"/>
              <w:rPr/>
            </w:pPr>
            <w:r>
              <w:rPr/>
              <w:t>✓</w:t>
            </w:r>
          </w:p>
        </w:tc>
        <w:tc>
          <w:tcPr>
            <w:tcW w:w="1136" w:type="dxa"/>
            <w:tcBorders/>
            <w:vAlign w:val="center"/>
          </w:tcPr>
          <w:p>
            <w:pPr>
              <w:pStyle w:val="TableContents"/>
              <w:bidi w:val="0"/>
              <w:jc w:val="center"/>
              <w:rPr/>
            </w:pPr>
            <w:r>
              <w:rPr/>
              <w:t>✓✓</w:t>
            </w:r>
          </w:p>
        </w:tc>
        <w:tc>
          <w:tcPr>
            <w:tcW w:w="3294" w:type="dxa"/>
            <w:tcBorders/>
            <w:vAlign w:val="center"/>
          </w:tcPr>
          <w:p>
            <w:pPr>
              <w:pStyle w:val="TableContents"/>
              <w:widowControl w:val="false"/>
              <w:suppressLineNumbers/>
              <w:bidi w:val="0"/>
              <w:jc w:val="start"/>
              <w:rPr/>
            </w:pPr>
            <w:r>
              <w:rPr/>
              <w:t>Armed Forces / deputation / military recruitment (</w:t>
            </w:r>
            <w:hyperlink r:id="rId6">
              <w:r>
                <w:rPr>
                  <w:rStyle w:val="Hyperlink"/>
                </w:rPr>
                <w:t>Indian Republic</w:t>
              </w:r>
            </w:hyperlink>
            <w:r>
              <w:rPr/>
              <w:t>)</w:t>
            </w:r>
          </w:p>
        </w:tc>
      </w:tr>
      <w:tr>
        <w:trPr/>
        <w:tc>
          <w:tcPr>
            <w:tcW w:w="3016" w:type="dxa"/>
            <w:tcBorders/>
            <w:vAlign w:val="center"/>
          </w:tcPr>
          <w:p>
            <w:pPr>
              <w:pStyle w:val="TableContents"/>
              <w:widowControl w:val="false"/>
              <w:suppressLineNumbers/>
              <w:bidi w:val="0"/>
              <w:jc w:val="start"/>
              <w:rPr/>
            </w:pPr>
            <w:r>
              <w:rPr/>
              <w:t>Defence Research and Development Organisation (DRDO)</w:t>
            </w:r>
          </w:p>
        </w:tc>
        <w:tc>
          <w:tcPr>
            <w:tcW w:w="1507" w:type="dxa"/>
            <w:tcBorders/>
            <w:vAlign w:val="center"/>
          </w:tcPr>
          <w:p>
            <w:pPr>
              <w:pStyle w:val="TableContents"/>
              <w:bidi w:val="0"/>
              <w:jc w:val="center"/>
              <w:rPr/>
            </w:pPr>
            <w:r>
              <w:rPr/>
              <w:t>✓✓</w:t>
            </w:r>
          </w:p>
        </w:tc>
        <w:tc>
          <w:tcPr>
            <w:tcW w:w="1019" w:type="dxa"/>
            <w:tcBorders/>
            <w:vAlign w:val="center"/>
          </w:tcPr>
          <w:p>
            <w:pPr>
              <w:pStyle w:val="TableContents"/>
              <w:bidi w:val="0"/>
              <w:jc w:val="center"/>
              <w:rPr/>
            </w:pPr>
            <w:r>
              <w:rPr/>
              <w:t>✓</w:t>
            </w:r>
          </w:p>
        </w:tc>
        <w:tc>
          <w:tcPr>
            <w:tcW w:w="1136" w:type="dxa"/>
            <w:tcBorders/>
            <w:vAlign w:val="center"/>
          </w:tcPr>
          <w:p>
            <w:pPr>
              <w:pStyle w:val="TableContents"/>
              <w:bidi w:val="0"/>
              <w:jc w:val="center"/>
              <w:rPr/>
            </w:pPr>
            <w:r>
              <w:rPr/>
              <w:t>✓</w:t>
            </w:r>
          </w:p>
        </w:tc>
        <w:tc>
          <w:tcPr>
            <w:tcW w:w="3294" w:type="dxa"/>
            <w:tcBorders/>
            <w:vAlign w:val="center"/>
          </w:tcPr>
          <w:p>
            <w:pPr>
              <w:pStyle w:val="TableContents"/>
              <w:widowControl w:val="false"/>
              <w:suppressLineNumbers/>
              <w:bidi w:val="0"/>
              <w:jc w:val="start"/>
              <w:rPr/>
            </w:pPr>
            <w:r>
              <w:rPr/>
              <w:t>Scientist recruitment (</w:t>
            </w:r>
            <w:hyperlink r:id="rId7">
              <w:r>
                <w:rPr>
                  <w:rStyle w:val="Hyperlink"/>
                </w:rPr>
                <w:t>Reddit</w:t>
              </w:r>
            </w:hyperlink>
            <w:r>
              <w:rPr/>
              <w:t>)</w:t>
            </w:r>
          </w:p>
        </w:tc>
      </w:tr>
      <w:tr>
        <w:trPr/>
        <w:tc>
          <w:tcPr>
            <w:tcW w:w="3016" w:type="dxa"/>
            <w:tcBorders/>
            <w:vAlign w:val="center"/>
          </w:tcPr>
          <w:p>
            <w:pPr>
              <w:pStyle w:val="TableContents"/>
              <w:widowControl w:val="false"/>
              <w:suppressLineNumbers/>
              <w:bidi w:val="0"/>
              <w:jc w:val="start"/>
              <w:rPr/>
            </w:pPr>
            <w:r>
              <w:rPr/>
              <w:t>National Informatics Centre (NIC)</w:t>
            </w:r>
          </w:p>
        </w:tc>
        <w:tc>
          <w:tcPr>
            <w:tcW w:w="1507" w:type="dxa"/>
            <w:tcBorders/>
            <w:vAlign w:val="center"/>
          </w:tcPr>
          <w:p>
            <w:pPr>
              <w:pStyle w:val="TableContents"/>
              <w:bidi w:val="0"/>
              <w:jc w:val="center"/>
              <w:rPr/>
            </w:pPr>
            <w:r>
              <w:rPr/>
              <w:t>Limited</w:t>
            </w:r>
          </w:p>
        </w:tc>
        <w:tc>
          <w:tcPr>
            <w:tcW w:w="1019" w:type="dxa"/>
            <w:tcBorders/>
            <w:vAlign w:val="center"/>
          </w:tcPr>
          <w:p>
            <w:pPr>
              <w:pStyle w:val="TableContents"/>
              <w:bidi w:val="0"/>
              <w:jc w:val="center"/>
              <w:rPr/>
            </w:pPr>
            <w:r>
              <w:rPr/>
              <w:t>✓</w:t>
            </w:r>
          </w:p>
        </w:tc>
        <w:tc>
          <w:tcPr>
            <w:tcW w:w="1136" w:type="dxa"/>
            <w:tcBorders/>
            <w:vAlign w:val="center"/>
          </w:tcPr>
          <w:p>
            <w:pPr>
              <w:pStyle w:val="TableContents"/>
              <w:bidi w:val="0"/>
              <w:jc w:val="center"/>
              <w:rPr/>
            </w:pPr>
            <w:r>
              <w:rPr/>
              <w:t>✓✓</w:t>
            </w:r>
          </w:p>
        </w:tc>
        <w:tc>
          <w:tcPr>
            <w:tcW w:w="3294" w:type="dxa"/>
            <w:tcBorders/>
            <w:vAlign w:val="center"/>
          </w:tcPr>
          <w:p>
            <w:pPr>
              <w:pStyle w:val="TableContents"/>
              <w:widowControl w:val="false"/>
              <w:suppressLineNumbers/>
              <w:bidi w:val="0"/>
              <w:jc w:val="start"/>
              <w:rPr/>
            </w:pPr>
            <w:r>
              <w:rPr/>
              <w:t>Professional recruitment for cybersecurity roles (</w:t>
            </w:r>
            <w:hyperlink r:id="rId8">
              <w:r>
                <w:rPr>
                  <w:rStyle w:val="Hyperlink"/>
                </w:rPr>
                <w:t>National Informatics Centre</w:t>
              </w:r>
            </w:hyperlink>
            <w:r>
              <w:rPr/>
              <w:t>)</w:t>
            </w:r>
          </w:p>
        </w:tc>
      </w:tr>
      <w:tr>
        <w:trPr/>
        <w:tc>
          <w:tcPr>
            <w:tcW w:w="3016" w:type="dxa"/>
            <w:tcBorders/>
            <w:vAlign w:val="center"/>
          </w:tcPr>
          <w:p>
            <w:pPr>
              <w:pStyle w:val="TableContents"/>
              <w:widowControl w:val="false"/>
              <w:suppressLineNumbers/>
              <w:bidi w:val="0"/>
              <w:jc w:val="start"/>
              <w:rPr/>
            </w:pPr>
            <w:r>
              <w:rPr/>
              <w:t>Intelligence Bureau (IB)</w:t>
            </w:r>
          </w:p>
        </w:tc>
        <w:tc>
          <w:tcPr>
            <w:tcW w:w="1507" w:type="dxa"/>
            <w:tcBorders/>
            <w:vAlign w:val="center"/>
          </w:tcPr>
          <w:p>
            <w:pPr>
              <w:pStyle w:val="TableContents"/>
              <w:bidi w:val="0"/>
              <w:jc w:val="center"/>
              <w:rPr/>
            </w:pPr>
            <w:r>
              <w:rPr/>
              <w:t>✓✓</w:t>
            </w:r>
          </w:p>
        </w:tc>
        <w:tc>
          <w:tcPr>
            <w:tcW w:w="1019" w:type="dxa"/>
            <w:tcBorders/>
            <w:vAlign w:val="center"/>
          </w:tcPr>
          <w:p>
            <w:pPr>
              <w:pStyle w:val="TableContents"/>
              <w:bidi w:val="0"/>
              <w:jc w:val="center"/>
              <w:rPr/>
            </w:pPr>
            <w:r>
              <w:rPr/>
              <w:t>Limited</w:t>
            </w:r>
          </w:p>
        </w:tc>
        <w:tc>
          <w:tcPr>
            <w:tcW w:w="1136" w:type="dxa"/>
            <w:tcBorders/>
            <w:vAlign w:val="center"/>
          </w:tcPr>
          <w:p>
            <w:pPr>
              <w:pStyle w:val="TableContents"/>
              <w:bidi w:val="0"/>
              <w:jc w:val="center"/>
              <w:rPr/>
            </w:pPr>
            <w:r>
              <w:rPr/>
              <w:t>✓</w:t>
            </w:r>
          </w:p>
        </w:tc>
        <w:tc>
          <w:tcPr>
            <w:tcW w:w="3294" w:type="dxa"/>
            <w:tcBorders/>
            <w:vAlign w:val="center"/>
          </w:tcPr>
          <w:p>
            <w:pPr>
              <w:pStyle w:val="TableContents"/>
              <w:widowControl w:val="false"/>
              <w:suppressLineNumbers/>
              <w:bidi w:val="0"/>
              <w:jc w:val="start"/>
              <w:rPr/>
            </w:pPr>
            <w:r>
              <w:rPr/>
              <w:t>Technical recruitment (</w:t>
            </w:r>
            <w:hyperlink r:id="rId9">
              <w:r>
                <w:rPr>
                  <w:rStyle w:val="Hyperlink"/>
                </w:rPr>
                <w:t>Xpert4Cyber</w:t>
              </w:r>
            </w:hyperlink>
            <w:r>
              <w:rPr/>
              <w:t>)</w:t>
            </w:r>
          </w:p>
        </w:tc>
      </w:tr>
      <w:tr>
        <w:trPr/>
        <w:tc>
          <w:tcPr>
            <w:tcW w:w="3016" w:type="dxa"/>
            <w:tcBorders/>
            <w:vAlign w:val="center"/>
          </w:tcPr>
          <w:p>
            <w:pPr>
              <w:pStyle w:val="TableContents"/>
              <w:widowControl w:val="false"/>
              <w:suppressLineNumbers/>
              <w:bidi w:val="0"/>
              <w:jc w:val="start"/>
              <w:rPr/>
            </w:pPr>
            <w:r>
              <w:rPr/>
              <w:t>Centre for Development of Advanced Computing (C-DAC)</w:t>
            </w:r>
          </w:p>
        </w:tc>
        <w:tc>
          <w:tcPr>
            <w:tcW w:w="1507" w:type="dxa"/>
            <w:tcBorders/>
            <w:vAlign w:val="center"/>
          </w:tcPr>
          <w:p>
            <w:pPr>
              <w:pStyle w:val="TableContents"/>
              <w:bidi w:val="0"/>
              <w:jc w:val="center"/>
              <w:rPr/>
            </w:pPr>
            <w:r>
              <w:rPr/>
              <w:t>✓</w:t>
            </w:r>
          </w:p>
        </w:tc>
        <w:tc>
          <w:tcPr>
            <w:tcW w:w="1019" w:type="dxa"/>
            <w:tcBorders/>
            <w:vAlign w:val="center"/>
          </w:tcPr>
          <w:p>
            <w:pPr>
              <w:pStyle w:val="TableContents"/>
              <w:bidi w:val="0"/>
              <w:jc w:val="center"/>
              <w:rPr/>
            </w:pPr>
            <w:r>
              <w:rPr/>
              <w:t>✓</w:t>
            </w:r>
          </w:p>
        </w:tc>
        <w:tc>
          <w:tcPr>
            <w:tcW w:w="1136" w:type="dxa"/>
            <w:tcBorders/>
            <w:vAlign w:val="center"/>
          </w:tcPr>
          <w:p>
            <w:pPr>
              <w:pStyle w:val="TableContents"/>
              <w:bidi w:val="0"/>
              <w:jc w:val="center"/>
              <w:rPr/>
            </w:pPr>
            <w:r>
              <w:rPr/>
              <w:t>✓</w:t>
            </w:r>
          </w:p>
        </w:tc>
        <w:tc>
          <w:tcPr>
            <w:tcW w:w="3294" w:type="dxa"/>
            <w:tcBorders/>
            <w:vAlign w:val="center"/>
          </w:tcPr>
          <w:p>
            <w:pPr>
              <w:pStyle w:val="TableContents"/>
              <w:widowControl w:val="false"/>
              <w:suppressLineNumbers/>
              <w:bidi w:val="0"/>
              <w:jc w:val="start"/>
              <w:rPr/>
            </w:pPr>
            <w:r>
              <w:rPr/>
              <w:t>Project engineers, scientists, researchers (</w:t>
            </w:r>
            <w:hyperlink r:id="rId10">
              <w:r>
                <w:rPr>
                  <w:rStyle w:val="Hyperlink"/>
                </w:rPr>
                <w:t>Reddit</w:t>
              </w:r>
            </w:hyperlink>
            <w:r>
              <w:rPr/>
              <w:t>)</w:t>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68440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1"/>
                    <a:stretch>
                      <a:fillRect/>
                    </a:stretch>
                  </pic:blipFill>
                  <pic:spPr bwMode="auto">
                    <a:xfrm>
                      <a:off x="0" y="0"/>
                      <a:ext cx="6332220" cy="6844030"/>
                    </a:xfrm>
                    <a:prstGeom prst="rect">
                      <a:avLst/>
                    </a:prstGeom>
                    <a:noFill/>
                  </pic:spPr>
                </pic:pic>
              </a:graphicData>
            </a:graphic>
          </wp:anchor>
        </w:drawing>
      </w:r>
    </w:p>
    <w:sectPr>
      <w:type w:val="continuous"/>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Arial"/>
      <w:b/>
      <w:bCs/>
      <w:sz w:val="28"/>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ib.gov.in/Pressreleaseshare.aspx?PRID=2115416&amp;lang=2&amp;reg=3&amp;utm_source=chatgpt.com" TargetMode="External"/><Relationship Id="rId3" Type="http://schemas.openxmlformats.org/officeDocument/2006/relationships/hyperlink" Target="https://www.mha.gov.in/en/divisionofmha/cyber-and-information-security-cis-division?utm_source=chatgpt.com" TargetMode="External"/><Relationship Id="rId4" Type="http://schemas.openxmlformats.org/officeDocument/2006/relationships/hyperlink" Target="https://www.pib.gov.in/PressReleasePage.aspx?PRID=2116341&amp;lang=1&amp;reg=37&amp;utm_source=chatgpt.com" TargetMode="External"/><Relationship Id="rId5" Type="http://schemas.openxmlformats.org/officeDocument/2006/relationships/hyperlink" Target="https://www.pib.gov.in/PressReleasePage.aspx?PRID=2116341&amp;lang=1&amp;reg=37&amp;utm_source=chatgpt.com" TargetMode="External"/><Relationship Id="rId6" Type="http://schemas.openxmlformats.org/officeDocument/2006/relationships/hyperlink" Target="https://www.indianrepublic.in/2026/06/how-indias-cybersecurity-architecture-works.html?utm_source=chatgpt.com" TargetMode="External"/><Relationship Id="rId7" Type="http://schemas.openxmlformats.org/officeDocument/2006/relationships/hyperlink" Target="https://www.reddit.com/r/cybersecurityindia/comments/1ssyu8r/need_some_clarification_on_jobs_and_stuff/?utm_source=chatgpt.com" TargetMode="External"/><Relationship Id="rId8" Type="http://schemas.openxmlformats.org/officeDocument/2006/relationships/hyperlink" Target="https://www.nic.gov.in/notice/hiring-of-professionals-for-cloud-network-and-cyber-security-related-roles/?utm_source=chatgpt.com" TargetMode="External"/><Relationship Id="rId9" Type="http://schemas.openxmlformats.org/officeDocument/2006/relationships/hyperlink" Target="https://www.xpert4cyber.com/2026/02/government-psu-cybersecurity-jobs-india-career-links-2026.html?utm_source=chatgpt.com" TargetMode="External"/><Relationship Id="rId10" Type="http://schemas.openxmlformats.org/officeDocument/2006/relationships/hyperlink" Target="https://www.reddit.com/r/cybersecurityindia/comments/1ssyu8r/need_some_clarification_on_jobs_and_stuff/?utm_source=chatgpt.com" TargetMode="External"/><Relationship Id="rId11" Type="http://schemas.openxmlformats.org/officeDocument/2006/relationships/image" Target="media/image1.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LibreOffice/25.8.3.2$Windows_X86_64 LibreOffice_project/8ca8d55c161d602844f5428fa4b58097424e324e</Application>
  <AppVersion>15.0000</AppVersion>
  <Pages>4</Pages>
  <Words>615</Words>
  <Characters>4192</Characters>
  <CharactersWithSpaces>4727</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2026-07-24T09:15:38Z</dcterms:created>
  <dc:creator/>
  <dc:description/>
  <dc:language>en-US</dc:language>
  <cp:lastModifiedBy/>
  <cp:lastPrinted>2026-07-25T09:30:58Z</cp:lastPrinted>
  <dcterms:modified xsi:type="dcterms:W3CDTF">2026-07-25T10:24:35Z</dcterms:modified>
  <cp:revision>3</cp:revision>
  <dc:subject/>
  <dc:title/>
</cp:coreProperties>
</file>