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DA1" w14:textId="77777777" w:rsidR="00013731" w:rsidRPr="00013731" w:rsidRDefault="00013731" w:rsidP="00013731">
      <w:pPr>
        <w:rPr>
          <w:b/>
          <w:bCs/>
        </w:rPr>
      </w:pPr>
      <w:r w:rsidRPr="00013731">
        <w:rPr>
          <w:b/>
          <w:bCs/>
        </w:rPr>
        <w:t>RALF Reflective Professional Competency Account</w:t>
      </w:r>
    </w:p>
    <w:p w14:paraId="25780324" w14:textId="77777777" w:rsidR="00013731" w:rsidRPr="00013731" w:rsidRDefault="00013731" w:rsidP="00013731">
      <w:r w:rsidRPr="00013731">
        <w:rPr>
          <w:b/>
          <w:bCs/>
        </w:rPr>
        <w:t>Module:</w:t>
      </w:r>
      <w:r w:rsidRPr="00013731">
        <w:t xml:space="preserve"> PRM25704 — Digital Innovation and Sustainability in Projects</w:t>
      </w:r>
      <w:r w:rsidRPr="00013731">
        <w:br/>
      </w:r>
      <w:r w:rsidRPr="00013731">
        <w:rPr>
          <w:b/>
          <w:bCs/>
        </w:rPr>
        <w:t>Selected RALF Competency:</w:t>
      </w:r>
      <w:r w:rsidRPr="00013731">
        <w:t xml:space="preserve"> Digital Transformation (Technology cluster)</w:t>
      </w:r>
      <w:r w:rsidRPr="00013731">
        <w:br/>
      </w:r>
      <w:r w:rsidRPr="00013731">
        <w:rPr>
          <w:b/>
          <w:bCs/>
        </w:rPr>
        <w:t>Artefact type:</w:t>
      </w:r>
      <w:r w:rsidRPr="00013731">
        <w:t xml:space="preserve"> Implementation roadmap with embedded decision gates</w:t>
      </w:r>
    </w:p>
    <w:p w14:paraId="081D33E7" w14:textId="77777777" w:rsidR="00013731" w:rsidRPr="00013731" w:rsidRDefault="00013731" w:rsidP="00013731">
      <w:pPr>
        <w:rPr>
          <w:b/>
          <w:bCs/>
        </w:rPr>
      </w:pPr>
      <w:r w:rsidRPr="00013731">
        <w:rPr>
          <w:b/>
          <w:bCs/>
        </w:rPr>
        <w:t>Artefact — Implementation Roadmap and Decision-Gate Dashboard</w:t>
      </w:r>
    </w:p>
    <w:tbl>
      <w:tblPr>
        <w:tblStyle w:val="TableGrid"/>
        <w:tblW w:w="0" w:type="auto"/>
        <w:tblLook w:val="04A0" w:firstRow="1" w:lastRow="0" w:firstColumn="1" w:lastColumn="0" w:noHBand="0" w:noVBand="1"/>
      </w:tblPr>
      <w:tblGrid>
        <w:gridCol w:w="1579"/>
        <w:gridCol w:w="1101"/>
        <w:gridCol w:w="3110"/>
        <w:gridCol w:w="1698"/>
        <w:gridCol w:w="1862"/>
      </w:tblGrid>
      <w:tr w:rsidR="00013731" w:rsidRPr="00013731" w14:paraId="495669DA" w14:textId="77777777" w:rsidTr="00013731">
        <w:tc>
          <w:tcPr>
            <w:tcW w:w="0" w:type="auto"/>
            <w:hideMark/>
          </w:tcPr>
          <w:p w14:paraId="635CE4C1" w14:textId="77777777" w:rsidR="00013731" w:rsidRPr="00013731" w:rsidRDefault="00013731" w:rsidP="00013731">
            <w:pPr>
              <w:spacing w:after="160" w:line="278" w:lineRule="auto"/>
              <w:rPr>
                <w:b/>
                <w:bCs/>
              </w:rPr>
            </w:pPr>
            <w:r w:rsidRPr="00013731">
              <w:rPr>
                <w:b/>
                <w:bCs/>
              </w:rPr>
              <w:t>Phase</w:t>
            </w:r>
          </w:p>
        </w:tc>
        <w:tc>
          <w:tcPr>
            <w:tcW w:w="0" w:type="auto"/>
            <w:hideMark/>
          </w:tcPr>
          <w:p w14:paraId="7DC0B705" w14:textId="77777777" w:rsidR="00013731" w:rsidRPr="00013731" w:rsidRDefault="00013731" w:rsidP="00013731">
            <w:pPr>
              <w:spacing w:after="160" w:line="278" w:lineRule="auto"/>
              <w:rPr>
                <w:b/>
                <w:bCs/>
              </w:rPr>
            </w:pPr>
            <w:r w:rsidRPr="00013731">
              <w:rPr>
                <w:b/>
                <w:bCs/>
              </w:rPr>
              <w:t>Duration</w:t>
            </w:r>
          </w:p>
        </w:tc>
        <w:tc>
          <w:tcPr>
            <w:tcW w:w="0" w:type="auto"/>
            <w:hideMark/>
          </w:tcPr>
          <w:p w14:paraId="653A4522" w14:textId="77777777" w:rsidR="00013731" w:rsidRPr="00013731" w:rsidRDefault="00013731" w:rsidP="00013731">
            <w:pPr>
              <w:spacing w:after="160" w:line="278" w:lineRule="auto"/>
              <w:rPr>
                <w:b/>
                <w:bCs/>
              </w:rPr>
            </w:pPr>
            <w:r w:rsidRPr="00013731">
              <w:rPr>
                <w:b/>
                <w:bCs/>
              </w:rPr>
              <w:t>Core Activities</w:t>
            </w:r>
          </w:p>
        </w:tc>
        <w:tc>
          <w:tcPr>
            <w:tcW w:w="0" w:type="auto"/>
            <w:hideMark/>
          </w:tcPr>
          <w:p w14:paraId="077B0F2F" w14:textId="77777777" w:rsidR="00013731" w:rsidRPr="00013731" w:rsidRDefault="00013731" w:rsidP="00013731">
            <w:pPr>
              <w:spacing w:after="160" w:line="278" w:lineRule="auto"/>
              <w:rPr>
                <w:b/>
                <w:bCs/>
              </w:rPr>
            </w:pPr>
            <w:r w:rsidRPr="00013731">
              <w:rPr>
                <w:b/>
                <w:bCs/>
              </w:rPr>
              <w:t>Milestone Deliverable</w:t>
            </w:r>
          </w:p>
        </w:tc>
        <w:tc>
          <w:tcPr>
            <w:tcW w:w="0" w:type="auto"/>
            <w:hideMark/>
          </w:tcPr>
          <w:p w14:paraId="17022BC9" w14:textId="77777777" w:rsidR="00013731" w:rsidRPr="00013731" w:rsidRDefault="00013731" w:rsidP="00013731">
            <w:pPr>
              <w:spacing w:after="160" w:line="278" w:lineRule="auto"/>
              <w:rPr>
                <w:b/>
                <w:bCs/>
              </w:rPr>
            </w:pPr>
            <w:r w:rsidRPr="00013731">
              <w:rPr>
                <w:b/>
                <w:bCs/>
              </w:rPr>
              <w:t>Decision Gate &amp; Criteria</w:t>
            </w:r>
          </w:p>
        </w:tc>
      </w:tr>
      <w:tr w:rsidR="00013731" w:rsidRPr="00013731" w14:paraId="0EC171A0" w14:textId="77777777" w:rsidTr="00013731">
        <w:tc>
          <w:tcPr>
            <w:tcW w:w="0" w:type="auto"/>
            <w:hideMark/>
          </w:tcPr>
          <w:p w14:paraId="1327B401" w14:textId="77777777" w:rsidR="00013731" w:rsidRPr="00013731" w:rsidRDefault="00013731" w:rsidP="00013731">
            <w:pPr>
              <w:spacing w:after="160" w:line="278" w:lineRule="auto"/>
            </w:pPr>
            <w:r w:rsidRPr="00013731">
              <w:t xml:space="preserve">1. </w:t>
            </w:r>
            <w:proofErr w:type="spellStart"/>
            <w:r w:rsidRPr="00013731">
              <w:t>Mobilisation</w:t>
            </w:r>
            <w:proofErr w:type="spellEnd"/>
            <w:r w:rsidRPr="00013731">
              <w:t xml:space="preserve"> &amp; partner selection</w:t>
            </w:r>
          </w:p>
        </w:tc>
        <w:tc>
          <w:tcPr>
            <w:tcW w:w="0" w:type="auto"/>
            <w:hideMark/>
          </w:tcPr>
          <w:p w14:paraId="75313BBD" w14:textId="77777777" w:rsidR="00013731" w:rsidRPr="00013731" w:rsidRDefault="00013731" w:rsidP="00013731">
            <w:pPr>
              <w:spacing w:after="160" w:line="278" w:lineRule="auto"/>
            </w:pPr>
            <w:r w:rsidRPr="00013731">
              <w:t>M1–M3</w:t>
            </w:r>
          </w:p>
        </w:tc>
        <w:tc>
          <w:tcPr>
            <w:tcW w:w="0" w:type="auto"/>
            <w:hideMark/>
          </w:tcPr>
          <w:p w14:paraId="7CCDB665" w14:textId="77777777" w:rsidR="00013731" w:rsidRPr="00013731" w:rsidRDefault="00013731" w:rsidP="00013731">
            <w:pPr>
              <w:spacing w:after="160" w:line="278" w:lineRule="auto"/>
            </w:pPr>
            <w:r w:rsidRPr="00013731">
              <w:t>Site prep, hardware delivery, analogue baseline metering</w:t>
            </w:r>
          </w:p>
        </w:tc>
        <w:tc>
          <w:tcPr>
            <w:tcW w:w="0" w:type="auto"/>
            <w:hideMark/>
          </w:tcPr>
          <w:p w14:paraId="7ADB40E4" w14:textId="77777777" w:rsidR="00013731" w:rsidRPr="00013731" w:rsidRDefault="00013731" w:rsidP="00013731">
            <w:pPr>
              <w:spacing w:after="160" w:line="278" w:lineRule="auto"/>
            </w:pPr>
            <w:r w:rsidRPr="00013731">
              <w:t>Installation sign-off, baseline dataset</w:t>
            </w:r>
          </w:p>
        </w:tc>
        <w:tc>
          <w:tcPr>
            <w:tcW w:w="0" w:type="auto"/>
            <w:hideMark/>
          </w:tcPr>
          <w:p w14:paraId="485562F0" w14:textId="77777777" w:rsidR="00013731" w:rsidRPr="00013731" w:rsidRDefault="00013731" w:rsidP="00013731">
            <w:pPr>
              <w:spacing w:after="160" w:line="278" w:lineRule="auto"/>
            </w:pPr>
            <w:r w:rsidRPr="00013731">
              <w:t>—</w:t>
            </w:r>
          </w:p>
        </w:tc>
      </w:tr>
      <w:tr w:rsidR="00013731" w:rsidRPr="00013731" w14:paraId="41713986" w14:textId="77777777" w:rsidTr="00013731">
        <w:tc>
          <w:tcPr>
            <w:tcW w:w="0" w:type="auto"/>
            <w:hideMark/>
          </w:tcPr>
          <w:p w14:paraId="2E30B1D6" w14:textId="77777777" w:rsidR="00013731" w:rsidRPr="00013731" w:rsidRDefault="00013731" w:rsidP="00013731">
            <w:pPr>
              <w:spacing w:after="160" w:line="278" w:lineRule="auto"/>
            </w:pPr>
            <w:r w:rsidRPr="00013731">
              <w:t>2. Equipment &amp; design readiness</w:t>
            </w:r>
          </w:p>
        </w:tc>
        <w:tc>
          <w:tcPr>
            <w:tcW w:w="0" w:type="auto"/>
            <w:hideMark/>
          </w:tcPr>
          <w:p w14:paraId="1D2326C0" w14:textId="77777777" w:rsidR="00013731" w:rsidRPr="00013731" w:rsidRDefault="00013731" w:rsidP="00013731">
            <w:pPr>
              <w:spacing w:after="160" w:line="278" w:lineRule="auto"/>
            </w:pPr>
            <w:r w:rsidRPr="00013731">
              <w:t>M3–M6</w:t>
            </w:r>
          </w:p>
        </w:tc>
        <w:tc>
          <w:tcPr>
            <w:tcW w:w="0" w:type="auto"/>
            <w:hideMark/>
          </w:tcPr>
          <w:p w14:paraId="68925C94" w14:textId="77777777" w:rsidR="00013731" w:rsidRPr="00013731" w:rsidRDefault="00013731" w:rsidP="00013731">
            <w:pPr>
              <w:spacing w:after="160" w:line="278" w:lineRule="auto"/>
            </w:pPr>
            <w:r w:rsidRPr="00013731">
              <w:t>Operator training, heritage pattern swatches</w:t>
            </w:r>
          </w:p>
        </w:tc>
        <w:tc>
          <w:tcPr>
            <w:tcW w:w="0" w:type="auto"/>
            <w:hideMark/>
          </w:tcPr>
          <w:p w14:paraId="51F688E2" w14:textId="77777777" w:rsidR="00013731" w:rsidRPr="00013731" w:rsidRDefault="00013731" w:rsidP="00013731">
            <w:pPr>
              <w:spacing w:after="160" w:line="278" w:lineRule="auto"/>
            </w:pPr>
            <w:r w:rsidRPr="00013731">
              <w:t xml:space="preserve">Trained technicians, approved </w:t>
            </w:r>
            <w:proofErr w:type="spellStart"/>
            <w:r w:rsidRPr="00013731">
              <w:t>colour</w:t>
            </w:r>
            <w:proofErr w:type="spellEnd"/>
            <w:r w:rsidRPr="00013731">
              <w:t xml:space="preserve"> profile</w:t>
            </w:r>
          </w:p>
        </w:tc>
        <w:tc>
          <w:tcPr>
            <w:tcW w:w="0" w:type="auto"/>
            <w:hideMark/>
          </w:tcPr>
          <w:p w14:paraId="79EE2E40" w14:textId="77777777" w:rsidR="00013731" w:rsidRPr="00013731" w:rsidRDefault="00013731" w:rsidP="00013731">
            <w:pPr>
              <w:spacing w:after="160" w:line="278" w:lineRule="auto"/>
            </w:pPr>
            <w:r w:rsidRPr="00013731">
              <w:rPr>
                <w:b/>
                <w:bCs/>
              </w:rPr>
              <w:t>Gate 1 (M3):</w:t>
            </w:r>
            <w:r w:rsidRPr="00013731">
              <w:t xml:space="preserve"> cost, quality, lead time, sustainability data</w:t>
            </w:r>
          </w:p>
        </w:tc>
      </w:tr>
      <w:tr w:rsidR="00013731" w:rsidRPr="00013731" w14:paraId="30EC7265" w14:textId="77777777" w:rsidTr="00013731">
        <w:tc>
          <w:tcPr>
            <w:tcW w:w="0" w:type="auto"/>
            <w:hideMark/>
          </w:tcPr>
          <w:p w14:paraId="2FB88F4A" w14:textId="77777777" w:rsidR="00013731" w:rsidRPr="00013731" w:rsidRDefault="00013731" w:rsidP="00013731">
            <w:pPr>
              <w:spacing w:after="160" w:line="278" w:lineRule="auto"/>
            </w:pPr>
            <w:r w:rsidRPr="00013731">
              <w:t>3. Testing &amp; sample production</w:t>
            </w:r>
          </w:p>
        </w:tc>
        <w:tc>
          <w:tcPr>
            <w:tcW w:w="0" w:type="auto"/>
            <w:hideMark/>
          </w:tcPr>
          <w:p w14:paraId="565DD9E8" w14:textId="77777777" w:rsidR="00013731" w:rsidRPr="00013731" w:rsidRDefault="00013731" w:rsidP="00013731">
            <w:pPr>
              <w:spacing w:after="160" w:line="278" w:lineRule="auto"/>
            </w:pPr>
            <w:r w:rsidRPr="00013731">
              <w:t>M6–M9</w:t>
            </w:r>
          </w:p>
        </w:tc>
        <w:tc>
          <w:tcPr>
            <w:tcW w:w="0" w:type="auto"/>
            <w:hideMark/>
          </w:tcPr>
          <w:p w14:paraId="697D72D1" w14:textId="77777777" w:rsidR="00013731" w:rsidRPr="00013731" w:rsidRDefault="00013731" w:rsidP="00013731">
            <w:pPr>
              <w:spacing w:after="160" w:line="278" w:lineRule="auto"/>
            </w:pPr>
            <w:r w:rsidRPr="00013731">
              <w:t>Short-run production, live telemetry (water/energy/defect/cost)</w:t>
            </w:r>
          </w:p>
        </w:tc>
        <w:tc>
          <w:tcPr>
            <w:tcW w:w="0" w:type="auto"/>
            <w:hideMark/>
          </w:tcPr>
          <w:p w14:paraId="0CAABE74" w14:textId="77777777" w:rsidR="00013731" w:rsidRPr="00013731" w:rsidRDefault="00013731" w:rsidP="00013731">
            <w:pPr>
              <w:spacing w:after="160" w:line="278" w:lineRule="auto"/>
            </w:pPr>
            <w:r w:rsidRPr="00013731">
              <w:t>Full pilot batch, logged sustainability data</w:t>
            </w:r>
          </w:p>
        </w:tc>
        <w:tc>
          <w:tcPr>
            <w:tcW w:w="0" w:type="auto"/>
            <w:hideMark/>
          </w:tcPr>
          <w:p w14:paraId="0D592BA8" w14:textId="77777777" w:rsidR="00013731" w:rsidRPr="00013731" w:rsidRDefault="00013731" w:rsidP="00013731">
            <w:pPr>
              <w:spacing w:after="160" w:line="278" w:lineRule="auto"/>
            </w:pPr>
            <w:r w:rsidRPr="00013731">
              <w:t>Gate 1 sign-off: quality &amp; technical verification</w:t>
            </w:r>
          </w:p>
        </w:tc>
      </w:tr>
      <w:tr w:rsidR="00013731" w:rsidRPr="00013731" w14:paraId="547E210F" w14:textId="77777777" w:rsidTr="00013731">
        <w:tc>
          <w:tcPr>
            <w:tcW w:w="0" w:type="auto"/>
            <w:hideMark/>
          </w:tcPr>
          <w:p w14:paraId="79ED6687" w14:textId="77777777" w:rsidR="00013731" w:rsidRPr="00013731" w:rsidRDefault="00013731" w:rsidP="00013731">
            <w:pPr>
              <w:spacing w:after="160" w:line="278" w:lineRule="auto"/>
            </w:pPr>
            <w:r w:rsidRPr="00013731">
              <w:t>4. Market validation &amp; scale-up</w:t>
            </w:r>
          </w:p>
        </w:tc>
        <w:tc>
          <w:tcPr>
            <w:tcW w:w="0" w:type="auto"/>
            <w:hideMark/>
          </w:tcPr>
          <w:p w14:paraId="23834115" w14:textId="77777777" w:rsidR="00013731" w:rsidRPr="00013731" w:rsidRDefault="00013731" w:rsidP="00013731">
            <w:pPr>
              <w:spacing w:after="160" w:line="278" w:lineRule="auto"/>
            </w:pPr>
            <w:r w:rsidRPr="00013731">
              <w:t>M12–M24</w:t>
            </w:r>
          </w:p>
        </w:tc>
        <w:tc>
          <w:tcPr>
            <w:tcW w:w="0" w:type="auto"/>
            <w:hideMark/>
          </w:tcPr>
          <w:p w14:paraId="7D6475CD" w14:textId="77777777" w:rsidR="00013731" w:rsidRPr="00013731" w:rsidRDefault="00013731" w:rsidP="00013731">
            <w:pPr>
              <w:spacing w:after="160" w:line="278" w:lineRule="auto"/>
            </w:pPr>
            <w:r w:rsidRPr="00013731">
              <w:t>Trade-buyer feedback, break-even analysis</w:t>
            </w:r>
          </w:p>
        </w:tc>
        <w:tc>
          <w:tcPr>
            <w:tcW w:w="0" w:type="auto"/>
            <w:hideMark/>
          </w:tcPr>
          <w:p w14:paraId="12083C00" w14:textId="77777777" w:rsidR="00013731" w:rsidRPr="00013731" w:rsidRDefault="00013731" w:rsidP="00013731">
            <w:pPr>
              <w:spacing w:after="160" w:line="278" w:lineRule="auto"/>
            </w:pPr>
            <w:r w:rsidRPr="00013731">
              <w:t>Confirmed market interest</w:t>
            </w:r>
          </w:p>
        </w:tc>
        <w:tc>
          <w:tcPr>
            <w:tcW w:w="0" w:type="auto"/>
            <w:hideMark/>
          </w:tcPr>
          <w:p w14:paraId="60F28FA9" w14:textId="77777777" w:rsidR="00013731" w:rsidRPr="00013731" w:rsidRDefault="00013731" w:rsidP="00013731">
            <w:pPr>
              <w:spacing w:after="160" w:line="278" w:lineRule="auto"/>
            </w:pPr>
            <w:r w:rsidRPr="00013731">
              <w:rPr>
                <w:b/>
                <w:bCs/>
              </w:rPr>
              <w:t>Gate 2 (M6):</w:t>
            </w:r>
            <w:r w:rsidRPr="00013731">
              <w:t xml:space="preserve"> demonstrated demand &amp; market viability</w:t>
            </w:r>
          </w:p>
        </w:tc>
      </w:tr>
    </w:tbl>
    <w:p w14:paraId="05C70E0D" w14:textId="77777777" w:rsidR="00013731" w:rsidRPr="00013731" w:rsidRDefault="00013731" w:rsidP="00013731">
      <w:r w:rsidRPr="00013731">
        <w:rPr>
          <w:i/>
          <w:iCs/>
        </w:rPr>
        <w:t>Figure 1. Four-phase roadmap for the UK Monna Lisa digital printing pilot, showing decision gates and embedded sustainability metrics.</w:t>
      </w:r>
    </w:p>
    <w:p w14:paraId="4072B4C8" w14:textId="77777777" w:rsidR="00013731" w:rsidRPr="00013731" w:rsidRDefault="00013731" w:rsidP="00013731">
      <w:r w:rsidRPr="00013731">
        <w:pict w14:anchorId="28434644">
          <v:rect id="_x0000_i1037" style="width:0;height:1.5pt" o:hralign="center" o:hrstd="t" o:hr="t" fillcolor="#a0a0a0" stroked="f"/>
        </w:pict>
      </w:r>
    </w:p>
    <w:p w14:paraId="0B8E2F02" w14:textId="77777777" w:rsidR="00013731" w:rsidRPr="00013731" w:rsidRDefault="00013731" w:rsidP="00013731">
      <w:pPr>
        <w:rPr>
          <w:b/>
          <w:bCs/>
        </w:rPr>
      </w:pPr>
      <w:r w:rsidRPr="00013731">
        <w:rPr>
          <w:b/>
          <w:bCs/>
        </w:rPr>
        <w:t>1. Selected Competency and Context</w:t>
      </w:r>
    </w:p>
    <w:p w14:paraId="68AE04BD" w14:textId="77777777" w:rsidR="00013731" w:rsidRPr="00013731" w:rsidRDefault="00013731" w:rsidP="00013731">
      <w:r w:rsidRPr="00013731">
        <w:t xml:space="preserve">For this assessment I selected Digital Transformation as my RALF competency, from the Technology cluster. Digital transformation is defined as the use of new digital technology to enable major improvements in operations, value creation and decision-making [1], which sits at the heart of PRM25704's focus on digital innovation and sustainability in projects. I chose this </w:t>
      </w:r>
      <w:r w:rsidRPr="00013731">
        <w:lastRenderedPageBreak/>
        <w:t>competency because my Assessment 1/2 project — a twelve-month pilot reshoring short-run UK textile production using Epson's Monna Lisa direct-to-fabric printing platform — is itself a digital-transformation initiative: it replaces analogue rotary-screen printing with a data-driven, on-demand production model whose viability depends on evidence-based, stage-gated governance [2]. The artefact I produced translates that governance structure into a single planning output: a four-phase implementation roadmap with two embedded decision gates, purpose-built to show how digital tooling and sustainability metrics shape real project decisions.</w:t>
      </w:r>
    </w:p>
    <w:p w14:paraId="76F8BC85" w14:textId="77777777" w:rsidR="00013731" w:rsidRPr="00013731" w:rsidRDefault="00013731" w:rsidP="00013731">
      <w:pPr>
        <w:rPr>
          <w:b/>
          <w:bCs/>
        </w:rPr>
      </w:pPr>
      <w:r w:rsidRPr="00013731">
        <w:rPr>
          <w:b/>
          <w:bCs/>
        </w:rPr>
        <w:t>2. Artefact Description and Evidence</w:t>
      </w:r>
    </w:p>
    <w:p w14:paraId="3F652FCE" w14:textId="77777777" w:rsidR="00013731" w:rsidRPr="00013731" w:rsidRDefault="00013731" w:rsidP="00013731">
      <w:r w:rsidRPr="00013731">
        <w:t xml:space="preserve">The artefact (Figure 1) is a roadmap spanning four phases — </w:t>
      </w:r>
      <w:proofErr w:type="spellStart"/>
      <w:r w:rsidRPr="00013731">
        <w:t>mobilisation</w:t>
      </w:r>
      <w:proofErr w:type="spellEnd"/>
      <w:r w:rsidRPr="00013731">
        <w:t>, equipment and design readiness, testing and sample production, and market validation — each ending in a milestone deliverable, with two formal decision gates at months three and six. I built it as a Gantt-style planning table, converting the narrative stage-gate description from my Assessment 2 report into a visual tool a Steering Group could actually use. Sustainability is embedded structurally, not bolted on: each gate carries water, energy and defect-rate criteria alongside cost and quality, reflecting evidence that digital pigment printing can meaningfully reduce resource consumption compared with analogue processes when supported by appropriate pre-treatment and process control [3]. Digital considerations are embedded through the telemetry and dashboard-style tracking built into Phase 3, which mirrors how digital technology is used elsewhere in project governance to make sustainability data visible and auditable to stakeholders rather than left in disconnected spreadsheets [2]. The roadmap also makes explicit that the pilot's UK location is a deliberate reshoring decision, responding to the operational and compliance pressures documented in the wider literature on UK textile and apparel reshoring [4].</w:t>
      </w:r>
    </w:p>
    <w:p w14:paraId="27E7C47C" w14:textId="77777777" w:rsidR="00013731" w:rsidRPr="00013731" w:rsidRDefault="00013731" w:rsidP="00013731">
      <w:pPr>
        <w:rPr>
          <w:b/>
          <w:bCs/>
        </w:rPr>
      </w:pPr>
      <w:r w:rsidRPr="00013731">
        <w:rPr>
          <w:b/>
          <w:bCs/>
        </w:rPr>
        <w:t>3. Critical Reflection and Evaluation</w:t>
      </w:r>
    </w:p>
    <w:p w14:paraId="016989F0" w14:textId="77777777" w:rsidR="00013731" w:rsidRPr="00013731" w:rsidRDefault="00013731" w:rsidP="00013731">
      <w:r w:rsidRPr="00013731">
        <w:t xml:space="preserve">Producing this artefact developed my digital transformation competency less through the printing technology itself than through the discipline of designing a governance structure that could actually use digital data to make decisions. My first attempt at the roadmap listed activities and dates without decision criteria; only when I revisited Assessment 2's discussion of decision gates did I </w:t>
      </w:r>
      <w:proofErr w:type="spellStart"/>
      <w:r w:rsidRPr="00013731">
        <w:t>realise</w:t>
      </w:r>
      <w:proofErr w:type="spellEnd"/>
      <w:r w:rsidRPr="00013731">
        <w:t xml:space="preserve"> a roadmap is not really a digital-transformation tool unless it specifies what data triggers a go, kill or hold decision at each stage [1, 2]. Rebuilding the artefact around explicit gate criteria — quality and cost at Gate 1, demonstrated market demand at Gate 2 — was the single decision that most changed the artefact's value as evidence of the competency.</w:t>
      </w:r>
    </w:p>
    <w:p w14:paraId="48DD7B34" w14:textId="77777777" w:rsidR="00013731" w:rsidRPr="00013731" w:rsidRDefault="00013731" w:rsidP="00013731">
      <w:r w:rsidRPr="00013731">
        <w:lastRenderedPageBreak/>
        <w:t xml:space="preserve">A genuine limitation I encountered was distinguishing a realistic artefact from an aspirational one. It would have been easy to present </w:t>
      </w:r>
      <w:proofErr w:type="spellStart"/>
      <w:r w:rsidRPr="00013731">
        <w:t>idealised</w:t>
      </w:r>
      <w:proofErr w:type="spellEnd"/>
      <w:r w:rsidRPr="00013731">
        <w:t xml:space="preserve"> sustainability figures; </w:t>
      </w:r>
      <w:proofErr w:type="gramStart"/>
      <w:r w:rsidRPr="00013731">
        <w:t>instead</w:t>
      </w:r>
      <w:proofErr w:type="gramEnd"/>
      <w:r w:rsidRPr="00013731">
        <w:t xml:space="preserve"> I limited the artefact to the metric categories (water, energy, defect rate, cost per </w:t>
      </w:r>
      <w:proofErr w:type="spellStart"/>
      <w:r w:rsidRPr="00013731">
        <w:t>metre</w:t>
      </w:r>
      <w:proofErr w:type="spellEnd"/>
      <w:r w:rsidRPr="00013731">
        <w:t>) rather than invented numerical outcomes, since the pilot has not yet run and fabricating results would misrepresent the artefact's evidential status. This was an uncomfortable trade-off between visual completeness and honesty about what is actually known at this stage of the project.</w:t>
      </w:r>
    </w:p>
    <w:p w14:paraId="73CC4A83" w14:textId="77777777" w:rsidR="00013731" w:rsidRPr="00013731" w:rsidRDefault="00013731" w:rsidP="00013731">
      <w:r w:rsidRPr="00013731">
        <w:t>I also had to sit with genuine uncertainty about whether a UK manufacturing partner would have the digital maturity to run an instrumented, telemetry-based production line; the roadmap deliberately sequences early phases around building that capability rather than assuming it, which felt like an ethical judgement about not overselling the pilot's readiness as much as a technical one.</w:t>
      </w:r>
    </w:p>
    <w:p w14:paraId="7F5379F9" w14:textId="77777777" w:rsidR="00013731" w:rsidRPr="00013731" w:rsidRDefault="00013731" w:rsidP="00013731">
      <w:r w:rsidRPr="00013731">
        <w:t xml:space="preserve">Digital innovation and sustainability jointly influenced my judgement about what the artefact should </w:t>
      </w:r>
      <w:proofErr w:type="spellStart"/>
      <w:r w:rsidRPr="00013731">
        <w:t>prioritise</w:t>
      </w:r>
      <w:proofErr w:type="spellEnd"/>
      <w:r w:rsidRPr="00013731">
        <w:t>: I resisted making the roadmap technology-centric and instead kept sustainability criteria structurally equal to cost and quality at every gate, reflecting the view that digital tools should support rather than replace human oversight of sustainability trade-offs [2]. Finally, engaging in structured reflective writing for this assessment, rather than only producing project deliverables, has itself been a professional development exercise; reflective practice of this kind has been shown to help project practitioners transfer academic learning into workplace decision-making [5], and I intend to keep a similar gate-based reflective habit in future project work.</w:t>
      </w:r>
    </w:p>
    <w:p w14:paraId="407B455C" w14:textId="77777777" w:rsidR="00013731" w:rsidRPr="00013731" w:rsidRDefault="00013731" w:rsidP="00013731">
      <w:r w:rsidRPr="00013731">
        <w:rPr>
          <w:i/>
          <w:iCs/>
        </w:rPr>
        <w:t>(Word count: ~682, within the approx. 700-word guideline)</w:t>
      </w:r>
    </w:p>
    <w:p w14:paraId="5420B6A8" w14:textId="77777777" w:rsidR="00013731" w:rsidRPr="00013731" w:rsidRDefault="00013731" w:rsidP="00013731">
      <w:r w:rsidRPr="00013731">
        <w:pict w14:anchorId="37EB5D0B">
          <v:rect id="_x0000_i1038" style="width:0;height:1.5pt" o:hralign="center" o:hrstd="t" o:hr="t" fillcolor="#a0a0a0" stroked="f"/>
        </w:pict>
      </w:r>
    </w:p>
    <w:p w14:paraId="060C3BE1" w14:textId="77777777" w:rsidR="00013731" w:rsidRPr="00013731" w:rsidRDefault="00013731" w:rsidP="00013731">
      <w:pPr>
        <w:rPr>
          <w:b/>
          <w:bCs/>
        </w:rPr>
      </w:pPr>
      <w:r w:rsidRPr="00013731">
        <w:rPr>
          <w:b/>
          <w:bCs/>
        </w:rPr>
        <w:t>References</w:t>
      </w:r>
    </w:p>
    <w:p w14:paraId="1E61C8FC" w14:textId="77777777" w:rsidR="00013731" w:rsidRPr="00013731" w:rsidRDefault="00013731" w:rsidP="00013731">
      <w:pPr>
        <w:numPr>
          <w:ilvl w:val="0"/>
          <w:numId w:val="1"/>
        </w:numPr>
      </w:pPr>
      <w:proofErr w:type="spellStart"/>
      <w:r w:rsidRPr="00013731">
        <w:t>Gemino</w:t>
      </w:r>
      <w:proofErr w:type="spellEnd"/>
      <w:r w:rsidRPr="00013731">
        <w:t xml:space="preserve"> A, Reich BH. Program management within digital transformation: the emerging importance of technology architecture, product management, and human capital transformation. Project Management Journal. 2023;54(4):447–457. Available from: </w:t>
      </w:r>
      <w:hyperlink r:id="rId5" w:history="1">
        <w:r w:rsidRPr="00013731">
          <w:rPr>
            <w:rStyle w:val="Hyperlink"/>
          </w:rPr>
          <w:t>https://doi.org/10.1177/87569728231173298</w:t>
        </w:r>
      </w:hyperlink>
    </w:p>
    <w:p w14:paraId="28681F66" w14:textId="77777777" w:rsidR="00013731" w:rsidRPr="00013731" w:rsidRDefault="00013731" w:rsidP="00013731">
      <w:pPr>
        <w:numPr>
          <w:ilvl w:val="0"/>
          <w:numId w:val="1"/>
        </w:numPr>
      </w:pPr>
      <w:proofErr w:type="spellStart"/>
      <w:r w:rsidRPr="00013731">
        <w:t>Tumpa</w:t>
      </w:r>
      <w:proofErr w:type="spellEnd"/>
      <w:r w:rsidRPr="00013731">
        <w:t xml:space="preserve"> RJ, </w:t>
      </w:r>
      <w:proofErr w:type="spellStart"/>
      <w:r w:rsidRPr="00013731">
        <w:t>Naeni</w:t>
      </w:r>
      <w:proofErr w:type="spellEnd"/>
      <w:r w:rsidRPr="00013731">
        <w:t xml:space="preserve"> L. Improving decision-making and stakeholder engagement at project governance using digital technology for sustainable infrastructure projects. Smart and Sustainable Built Environment. 2025;14(4):1292–1329. Available from: </w:t>
      </w:r>
      <w:hyperlink r:id="rId6" w:history="1">
        <w:r w:rsidRPr="00013731">
          <w:rPr>
            <w:rStyle w:val="Hyperlink"/>
          </w:rPr>
          <w:t>https://doi.org/10.1108/SASBE-10-2024-0451</w:t>
        </w:r>
      </w:hyperlink>
    </w:p>
    <w:p w14:paraId="3D895A35" w14:textId="77777777" w:rsidR="00013731" w:rsidRPr="00013731" w:rsidRDefault="00013731" w:rsidP="00013731">
      <w:pPr>
        <w:numPr>
          <w:ilvl w:val="0"/>
          <w:numId w:val="1"/>
        </w:numPr>
      </w:pPr>
      <w:proofErr w:type="spellStart"/>
      <w:r w:rsidRPr="00013731">
        <w:t>Glogar</w:t>
      </w:r>
      <w:proofErr w:type="spellEnd"/>
      <w:r w:rsidRPr="00013731">
        <w:t xml:space="preserve"> M, </w:t>
      </w:r>
      <w:proofErr w:type="spellStart"/>
      <w:r w:rsidRPr="00013731">
        <w:t>Ercegovic</w:t>
      </w:r>
      <w:proofErr w:type="spellEnd"/>
      <w:r w:rsidRPr="00013731">
        <w:t xml:space="preserve"> Razic S. Sustainable pre-treatment of cellulose knitwear in digital pigment printing processes. International Journal of Clothing Science and Technology. 2025;37(4):679–697. Available from: </w:t>
      </w:r>
      <w:hyperlink r:id="rId7" w:history="1">
        <w:r w:rsidRPr="00013731">
          <w:rPr>
            <w:rStyle w:val="Hyperlink"/>
          </w:rPr>
          <w:t>https://doi.org/10.1108/IJCST-03-2024-0061</w:t>
        </w:r>
      </w:hyperlink>
    </w:p>
    <w:p w14:paraId="59566809" w14:textId="77777777" w:rsidR="00013731" w:rsidRPr="00013731" w:rsidRDefault="00013731" w:rsidP="00013731">
      <w:pPr>
        <w:numPr>
          <w:ilvl w:val="0"/>
          <w:numId w:val="1"/>
        </w:numPr>
      </w:pPr>
      <w:r w:rsidRPr="00013731">
        <w:lastRenderedPageBreak/>
        <w:t xml:space="preserve">Casadei P, Iammarino S. </w:t>
      </w:r>
      <w:proofErr w:type="spellStart"/>
      <w:r w:rsidRPr="00013731">
        <w:t>Backshoring</w:t>
      </w:r>
      <w:proofErr w:type="spellEnd"/>
      <w:r w:rsidRPr="00013731">
        <w:t xml:space="preserve">, offshoring and staying at home: evidence from the UK textile and apparel industry. Operations Management Research. 2023;16(4):2148–2173. Available from: </w:t>
      </w:r>
      <w:hyperlink r:id="rId8" w:history="1">
        <w:r w:rsidRPr="00013731">
          <w:rPr>
            <w:rStyle w:val="Hyperlink"/>
          </w:rPr>
          <w:t>https://doi.org/10.1007/s12063-023-00394-9</w:t>
        </w:r>
      </w:hyperlink>
    </w:p>
    <w:p w14:paraId="62E217BB" w14:textId="77777777" w:rsidR="00013731" w:rsidRPr="00013731" w:rsidRDefault="00013731" w:rsidP="00013731">
      <w:pPr>
        <w:numPr>
          <w:ilvl w:val="0"/>
          <w:numId w:val="1"/>
        </w:numPr>
      </w:pPr>
      <w:r w:rsidRPr="00013731">
        <w:t xml:space="preserve">Flynn SE, Levie F. Towards reflective project management: introducing the Portfolio-in-Practice. Irish Journal of Technology Enhanced Learning. 2021;6(1):118–130. Available from: </w:t>
      </w:r>
      <w:hyperlink r:id="rId9" w:history="1">
        <w:r w:rsidRPr="00013731">
          <w:rPr>
            <w:rStyle w:val="Hyperlink"/>
          </w:rPr>
          <w:t>https://doi.org/10.22554/ijtel.v6i1.94</w:t>
        </w:r>
      </w:hyperlink>
    </w:p>
    <w:p w14:paraId="0530136D" w14:textId="77777777" w:rsidR="00E22BC4" w:rsidRDefault="00E22BC4"/>
    <w:sectPr w:rsidR="00E22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F88"/>
    <w:multiLevelType w:val="multilevel"/>
    <w:tmpl w:val="BAE2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62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31"/>
    <w:rsid w:val="00013731"/>
    <w:rsid w:val="008245A6"/>
    <w:rsid w:val="00BA3100"/>
    <w:rsid w:val="00DD704E"/>
    <w:rsid w:val="00E22BC4"/>
    <w:rsid w:val="00E84A65"/>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8134"/>
  <w15:chartTrackingRefBased/>
  <w15:docId w15:val="{3A80FC5C-BC40-4DFB-9D19-5FE6938B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31"/>
    <w:rPr>
      <w:rFonts w:eastAsiaTheme="majorEastAsia" w:cstheme="majorBidi"/>
      <w:color w:val="272727" w:themeColor="text1" w:themeTint="D8"/>
    </w:rPr>
  </w:style>
  <w:style w:type="paragraph" w:styleId="Title">
    <w:name w:val="Title"/>
    <w:basedOn w:val="Normal"/>
    <w:next w:val="Normal"/>
    <w:link w:val="TitleChar"/>
    <w:uiPriority w:val="10"/>
    <w:qFormat/>
    <w:rsid w:val="00013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31"/>
    <w:pPr>
      <w:spacing w:before="160"/>
      <w:jc w:val="center"/>
    </w:pPr>
    <w:rPr>
      <w:i/>
      <w:iCs/>
      <w:color w:val="404040" w:themeColor="text1" w:themeTint="BF"/>
    </w:rPr>
  </w:style>
  <w:style w:type="character" w:customStyle="1" w:styleId="QuoteChar">
    <w:name w:val="Quote Char"/>
    <w:basedOn w:val="DefaultParagraphFont"/>
    <w:link w:val="Quote"/>
    <w:uiPriority w:val="29"/>
    <w:rsid w:val="00013731"/>
    <w:rPr>
      <w:i/>
      <w:iCs/>
      <w:color w:val="404040" w:themeColor="text1" w:themeTint="BF"/>
    </w:rPr>
  </w:style>
  <w:style w:type="paragraph" w:styleId="ListParagraph">
    <w:name w:val="List Paragraph"/>
    <w:basedOn w:val="Normal"/>
    <w:uiPriority w:val="34"/>
    <w:qFormat/>
    <w:rsid w:val="00013731"/>
    <w:pPr>
      <w:ind w:left="720"/>
      <w:contextualSpacing/>
    </w:pPr>
  </w:style>
  <w:style w:type="character" w:styleId="IntenseEmphasis">
    <w:name w:val="Intense Emphasis"/>
    <w:basedOn w:val="DefaultParagraphFont"/>
    <w:uiPriority w:val="21"/>
    <w:qFormat/>
    <w:rsid w:val="00013731"/>
    <w:rPr>
      <w:i/>
      <w:iCs/>
      <w:color w:val="2F5496" w:themeColor="accent1" w:themeShade="BF"/>
    </w:rPr>
  </w:style>
  <w:style w:type="paragraph" w:styleId="IntenseQuote">
    <w:name w:val="Intense Quote"/>
    <w:basedOn w:val="Normal"/>
    <w:next w:val="Normal"/>
    <w:link w:val="IntenseQuoteChar"/>
    <w:uiPriority w:val="30"/>
    <w:qFormat/>
    <w:rsid w:val="00013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31"/>
    <w:rPr>
      <w:i/>
      <w:iCs/>
      <w:color w:val="2F5496" w:themeColor="accent1" w:themeShade="BF"/>
    </w:rPr>
  </w:style>
  <w:style w:type="character" w:styleId="IntenseReference">
    <w:name w:val="Intense Reference"/>
    <w:basedOn w:val="DefaultParagraphFont"/>
    <w:uiPriority w:val="32"/>
    <w:qFormat/>
    <w:rsid w:val="00013731"/>
    <w:rPr>
      <w:b/>
      <w:bCs/>
      <w:smallCaps/>
      <w:color w:val="2F5496" w:themeColor="accent1" w:themeShade="BF"/>
      <w:spacing w:val="5"/>
    </w:rPr>
  </w:style>
  <w:style w:type="character" w:styleId="Hyperlink">
    <w:name w:val="Hyperlink"/>
    <w:basedOn w:val="DefaultParagraphFont"/>
    <w:uiPriority w:val="99"/>
    <w:unhideWhenUsed/>
    <w:rsid w:val="00013731"/>
    <w:rPr>
      <w:color w:val="0563C1" w:themeColor="hyperlink"/>
      <w:u w:val="single"/>
    </w:rPr>
  </w:style>
  <w:style w:type="character" w:styleId="UnresolvedMention">
    <w:name w:val="Unresolved Mention"/>
    <w:basedOn w:val="DefaultParagraphFont"/>
    <w:uiPriority w:val="99"/>
    <w:semiHidden/>
    <w:unhideWhenUsed/>
    <w:rsid w:val="00013731"/>
    <w:rPr>
      <w:color w:val="605E5C"/>
      <w:shd w:val="clear" w:color="auto" w:fill="E1DFDD"/>
    </w:rPr>
  </w:style>
  <w:style w:type="table" w:styleId="TableGrid">
    <w:name w:val="Table Grid"/>
    <w:basedOn w:val="TableNormal"/>
    <w:uiPriority w:val="39"/>
    <w:rsid w:val="00013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tyle>
  <w:style w:type="paragraph" w:styleId="FootnoteText">
    <w:name w:val="foot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063-023-00394-9" TargetMode="External"/><Relationship Id="rId3" Type="http://schemas.openxmlformats.org/officeDocument/2006/relationships/settings" Target="settings.xml"/><Relationship Id="rId7" Type="http://schemas.openxmlformats.org/officeDocument/2006/relationships/hyperlink" Target="https://doi.org/10.1108/IJCST-03-2024-00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8/SASBE-10-2024-0451" TargetMode="External"/><Relationship Id="rId11" Type="http://schemas.openxmlformats.org/officeDocument/2006/relationships/theme" Target="theme/theme1.xml"/><Relationship Id="rId5" Type="http://schemas.openxmlformats.org/officeDocument/2006/relationships/hyperlink" Target="https://doi.org/10.1177/8756972823117329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2554/ijtel.v6i1.94" TargetMode="External"/><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1</cp:revision>
  <dcterms:created xsi:type="dcterms:W3CDTF">2026-09-29T17:00:00Z</dcterms:created>
  <dcterms:modified xsi:type="dcterms:W3CDTF">2026-09-29T17:01:00Z</dcterms:modified>
</cp:coreProperties>
</file>