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909EA" w14:textId="77777777" w:rsidR="00924A67" w:rsidRPr="00924A67" w:rsidRDefault="00924A67" w:rsidP="00924A67">
      <w:pPr>
        <w:rPr>
          <w:b/>
          <w:bCs/>
        </w:rPr>
      </w:pPr>
      <w:r w:rsidRPr="00924A67">
        <w:rPr>
          <w:b/>
          <w:bCs/>
        </w:rPr>
        <w:t>Artificial Intelligence Adoption and Financial Decision-Making in Small and Medium-Sized Enterprises: A Review</w:t>
      </w:r>
    </w:p>
    <w:p w14:paraId="6A1E401B" w14:textId="77777777" w:rsidR="00924A67" w:rsidRPr="00924A67" w:rsidRDefault="00924A67" w:rsidP="00924A67">
      <w:r w:rsidRPr="00924A67">
        <w:rPr>
          <w:b/>
          <w:bCs/>
        </w:rPr>
        <w:t>Research questions:</w:t>
      </w:r>
      <w:r w:rsidRPr="00924A67">
        <w:br/>
        <w:t>RQ1: How does the adoption of artificial intelligence (AI) influence the quality, speed, and reliability of financial decision-making in small and medium-sized enterprises (SMEs)?</w:t>
      </w:r>
      <w:r w:rsidRPr="00924A67">
        <w:br/>
        <w:t>RQ2: What organisational, technological, and environmental factors mediate the relationship between AI adoption and improved SME financial outcomes?</w:t>
      </w:r>
    </w:p>
    <w:p w14:paraId="258E2D71" w14:textId="77777777" w:rsidR="00924A67" w:rsidRPr="00924A67" w:rsidRDefault="00924A67" w:rsidP="00924A67">
      <w:pPr>
        <w:rPr>
          <w:b/>
          <w:bCs/>
        </w:rPr>
      </w:pPr>
      <w:r w:rsidRPr="00924A67">
        <w:rPr>
          <w:b/>
          <w:bCs/>
        </w:rPr>
        <w:t>Introduction</w:t>
      </w:r>
    </w:p>
    <w:p w14:paraId="5A721586" w14:textId="77777777" w:rsidR="00924A67" w:rsidRPr="00924A67" w:rsidRDefault="00924A67" w:rsidP="00924A67">
      <w:r w:rsidRPr="00924A67">
        <w:t>Small and medium-sized enterprises (SMEs) form the backbone of most economies, yet they routinely struggle with financial decision-making because of thin margins, limited analytical capacity, and constrained access to external finance. Artificial intelligence (AI) — including machine learning (ML), predictive analytics, and generative AI — has been positioned as a way for SMEs to close this gap, automating routine financial tasks and surfacing insights that were previously the preserve of larger firms with dedicated finance functions. Scholarly interest in this area has accelerated sharply since 2020, driven by advances in accessible AI tools and by pressure on SMEs to remain competitive in increasingly digitised markets [1]. This report synthesises recent peer-reviewed literature to examine how AI adoption shapes SME financial decision-making, what enables or constrains that adoption, and where the evidence base still falls short.</w:t>
      </w:r>
    </w:p>
    <w:p w14:paraId="65B0AED6" w14:textId="77777777" w:rsidR="00924A67" w:rsidRPr="00924A67" w:rsidRDefault="00924A67" w:rsidP="00924A67">
      <w:pPr>
        <w:rPr>
          <w:b/>
          <w:bCs/>
        </w:rPr>
      </w:pPr>
      <w:r w:rsidRPr="00924A67">
        <w:rPr>
          <w:b/>
          <w:bCs/>
        </w:rPr>
        <w:t>AI Adoption Frameworks and Enablers in SMEs</w:t>
      </w:r>
    </w:p>
    <w:p w14:paraId="46303CEE" w14:textId="77777777" w:rsidR="00924A67" w:rsidRPr="00924A67" w:rsidRDefault="00924A67" w:rsidP="00924A67">
      <w:r w:rsidRPr="00924A67">
        <w:t>Much of the empirical literature on AI adoption in SMEs draws on established technology-adoption theory, particularly the Technology–Organisation–Environment (TOE) framework and Diffusion of Innovation (DOI) theory, to explain why some firms adopt AI-based financial tools while others do not. A large-scale bibliometric and systematic review of 63 empirical studies published between 2020 and 2024 found that AI adoption research in SMEs clusters around three themes: AI-driven innovation, entrepreneurial decision-making, and adoption barriers and enablers, with organisational readiness, digital infrastructure, and human capital consistently identified as the strongest determinants of successful adoption [1]. A related bibliometric analysis comparing SMEs with large firms similarly found that technology readiness — closely tied to a firm's existing IT infrastructure and digital maturity — is the single most influential factor shaping whether a firm can meaningfully exploit AI, and that SMEs are structurally disadvantaged relative to large firms on this dimension because they lack the capital to build sophisticated infrastructure [2].</w:t>
      </w:r>
    </w:p>
    <w:p w14:paraId="439E5399" w14:textId="77777777" w:rsidR="00924A67" w:rsidRPr="00924A67" w:rsidRDefault="00924A67" w:rsidP="00924A67">
      <w:r w:rsidRPr="00924A67">
        <w:t xml:space="preserve">Applying the TOE–DOI frameworks directly, a 2025 survey-based study of SME AI adopters identified perceived relative advantage, top-management support, and external pressure from </w:t>
      </w:r>
      <w:r w:rsidRPr="00924A67">
        <w:lastRenderedPageBreak/>
        <w:t>competitors and customers as the primary drivers of adoption intention, while cost and lack of in-house technical expertise remained the dominant barriers [3]. In a similar vein, a TOE-grounded study of SMEs found that AI adoption significantly improved measures of sustainable business performance, but only where firms had already achieved a baseline level of organisational readiness — suggesting that AI's financial benefits are conditional rather than automatic, and that firms adopting AI prematurely, without the underlying organisational capacity, may see limited returns [4]. Together, these studies suggest that the financial decision-making gains attributed to AI are not intrinsic to the technology itself but are contingent on a firm's prior digital maturity, a point with direct implications for how SMEs should sequence AI investment.</w:t>
      </w:r>
    </w:p>
    <w:p w14:paraId="2BF9E5F5" w14:textId="77777777" w:rsidR="00924A67" w:rsidRPr="00924A67" w:rsidRDefault="00924A67" w:rsidP="00924A67">
      <w:pPr>
        <w:rPr>
          <w:b/>
          <w:bCs/>
        </w:rPr>
      </w:pPr>
      <w:r w:rsidRPr="00924A67">
        <w:rPr>
          <w:b/>
          <w:bCs/>
        </w:rPr>
        <w:t>AI in Financial Decision-Making, Accounting and Auditing</w:t>
      </w:r>
    </w:p>
    <w:p w14:paraId="2CF7A586" w14:textId="77777777" w:rsidR="00924A67" w:rsidRPr="00924A67" w:rsidRDefault="00924A67" w:rsidP="00924A67">
      <w:r w:rsidRPr="00924A67">
        <w:t>A narrower stream of research examines AI's direct application to financial and accounting decision-making. A study of AI adoption's moderating role on SME performance in Sri Lanka found that firms integrating AI into their e-commerce and financial operations achieved measurably stronger business performance outcomes than non-adopters, attributing this to AI's capacity to process transactional data faster and more accurately than manual methods [5]. Extending this into a more specialised financial function, research on AI's role in achieving auditing quality among Saudi Arabian SMEs found that AI-supported audit processes improved error detection and reduced the time auditors spent on routine verification tasks, though the authors cautioned that auditor trust in AI-generated outputs remained inconsistent, with many practitioners still manually re-checking AI-flagged items [6]. This tension — improved technical performance alongside persistent human distrust — recurs across the literature and points to a gap between AI's demonstrated capability and its practical uptake in day-to-day financial decision-making.</w:t>
      </w:r>
    </w:p>
    <w:p w14:paraId="3395BE07" w14:textId="77777777" w:rsidR="00924A67" w:rsidRPr="00924A67" w:rsidRDefault="00924A67" w:rsidP="00924A67">
      <w:r w:rsidRPr="00924A67">
        <w:t>Closer to the specific mechanism linking AI to financial decisions, a study of AI adoption determinants in SMEs found that accounting automation mediates the relationship between AI adoption and its downstream benefits: firms that first automated core accounting processes were significantly more likely to extend AI into higher-order financial decision-making, such as budgeting and forecasting, than firms that attempted to adopt AI analytics without that automated foundation [7]. This finding reinforces the sequencing argument raised in the previous section: AI adoption in SMEs appears to unfold in stages, with basic process automation acting as a necessary precursor to more sophisticated, decision-oriented AI use.</w:t>
      </w:r>
    </w:p>
    <w:p w14:paraId="12A7DCCD" w14:textId="77777777" w:rsidR="00924A67" w:rsidRPr="00924A67" w:rsidRDefault="00924A67" w:rsidP="00924A67">
      <w:pPr>
        <w:rPr>
          <w:b/>
          <w:bCs/>
        </w:rPr>
      </w:pPr>
      <w:r w:rsidRPr="00924A67">
        <w:rPr>
          <w:b/>
          <w:bCs/>
        </w:rPr>
        <w:t>AI, Credit Risk and Access to Finance</w:t>
      </w:r>
    </w:p>
    <w:p w14:paraId="4CCE582C" w14:textId="77777777" w:rsidR="00924A67" w:rsidRPr="00924A67" w:rsidRDefault="00924A67" w:rsidP="00924A67">
      <w:r w:rsidRPr="00924A67">
        <w:t xml:space="preserve">A significant body of work addresses AI's role in one of the most consequential financial decisions SMEs face externally: access to credit. Using a proprietary dataset of over 500 Italian </w:t>
      </w:r>
      <w:r w:rsidRPr="00924A67">
        <w:lastRenderedPageBreak/>
        <w:t>small firms, one study compared machine-learning models against traditional probit-based credit scoring and found that ML techniques outperformed traditional methods specifically when lenders had limited historical information on a borrower — a common scenario for young or informationally opaque SMEs — while the two approaches performed comparably once richer historical data became available [8]. Using Shapley-value explainability methods, the same study showed that turnover, working capital, and payment delinquency were the variables most responsible for AI-driven credit predictions, offering SMEs a clearer view of which financial levers most affect their creditworthiness [8]. This has direct relevance to SME financial decision-making, since it suggests AI-based scoring can partially compensate for the information asymmetries that traditionally excluded SMEs from formal credit markets.</w:t>
      </w:r>
    </w:p>
    <w:p w14:paraId="23197690" w14:textId="77777777" w:rsidR="00924A67" w:rsidRPr="00924A67" w:rsidRDefault="00924A67" w:rsidP="00924A67">
      <w:r w:rsidRPr="00924A67">
        <w:t>Complementing this, a study of digital inclusive finance found that AI-enabled fintech platforms substantially eased financing constraints for small and micro enterprises, particularly by allowing lenders to substitute algorithmic risk assessment for the collateral and credit history that many small firms lack [9]. Similarly, research on AI applications in SME digital marketing and financial technology found that AI-supported fintech tools improved SMEs' ability to manage cash flow and access short-term financing, though the study noted that adoption remained concentrated among SMEs with existing digital sales channels, raising questions about whether these benefits are reaching the least digitally mature firms [10]. Read together, this cluster of studies indicates that AI's financial impact is strongest for SMEs already possessing some digital or transactional data trail, again reinforcing a "digital readiness" precondition rather than a uniform effect across all SMEs.</w:t>
      </w:r>
    </w:p>
    <w:p w14:paraId="22E63F57" w14:textId="77777777" w:rsidR="00924A67" w:rsidRPr="00924A67" w:rsidRDefault="00924A67" w:rsidP="00924A67">
      <w:pPr>
        <w:rPr>
          <w:b/>
          <w:bCs/>
        </w:rPr>
      </w:pPr>
      <w:r w:rsidRPr="00924A67">
        <w:rPr>
          <w:b/>
          <w:bCs/>
        </w:rPr>
        <w:t>Generative AI and Emerging Decision-Making Capabilities</w:t>
      </w:r>
    </w:p>
    <w:p w14:paraId="7618BBF4" w14:textId="77777777" w:rsidR="00924A67" w:rsidRPr="00924A67" w:rsidRDefault="00924A67" w:rsidP="00924A67">
      <w:r w:rsidRPr="00924A67">
        <w:t>The most recent literature extends beyond predictive ML into generative AI's role in SME decision-making more broadly. An empirical evaluation of a generative AI technology adoption model, surveying entrepreneurs directly, found that perceived usefulness for strategic and financial planning tasks was the strongest predictor of continued generative AI use, ahead of ease of use — suggesting that SME decision-makers are adopting these tools primarily for their analytical contribution rather than for convenience [11]. A related study examining AI's role in digital value creation for SMEs found that the relationship between AI adoption and value creation was significantly mediated by a firm's technological orientation, meaning that AI adoption alone did not guarantee improved outcomes unless it was embedded within a broader strategic orientation toward technology use [12]. Finally, research on AI-powered workforce management in micro, small and medium enterprises found that AI adoption contributed to revenue growth indirectly, by improving resource-allocation decisions rather than through any direct financial modelling capability, indicating that some of AI's financial benefits to SMEs may be operational rather than strictly analytical in origin [13].</w:t>
      </w:r>
    </w:p>
    <w:p w14:paraId="2DEF6731" w14:textId="77777777" w:rsidR="00924A67" w:rsidRPr="00924A67" w:rsidRDefault="00924A67" w:rsidP="00924A67">
      <w:pPr>
        <w:rPr>
          <w:b/>
          <w:bCs/>
        </w:rPr>
      </w:pPr>
      <w:r w:rsidRPr="00924A67">
        <w:rPr>
          <w:b/>
          <w:bCs/>
        </w:rPr>
        <w:lastRenderedPageBreak/>
        <w:t>Critical Evaluation and Identification of the Gap</w:t>
      </w:r>
    </w:p>
    <w:p w14:paraId="54569DD6" w14:textId="77777777" w:rsidR="00924A67" w:rsidRPr="00924A67" w:rsidRDefault="00924A67" w:rsidP="00924A67">
      <w:r w:rsidRPr="00924A67">
        <w:t xml:space="preserve">Across this literature, three limitations recur. First, methodologically, the evidence base leans heavily on cross-sectional surveys and single-country case studies [1], which cannot establish whether AI adoption causes improved financial decision-making or whether firms with already-superior financial management are simply more likely to adopt AI in the first place. Second, geographically, research remains concentrated in a small number of contexts — Italy [8], Sri Lanka [5], Saudi Arabia [6], and Jordan [7] feature prominently — with comparative, cross-country evidence on how institutional and regulatory context shapes AI's financial impact still thin. Third, and most significant for this review's research questions, almost none of the reviewed studies directly measure financial decision-making </w:t>
      </w:r>
      <w:r w:rsidRPr="00924A67">
        <w:rPr>
          <w:i/>
          <w:iCs/>
        </w:rPr>
        <w:t>quality</w:t>
      </w:r>
      <w:r w:rsidRPr="00924A67">
        <w:t xml:space="preserve"> (for example, forecast accuracy, capital allocation efficiency, or decision speed under uncertainty); most instead proxy it through adjacent outcomes such as audit quality [6], business performance [4,5], or revenue growth [13].</w:t>
      </w:r>
    </w:p>
    <w:p w14:paraId="19F20F2F" w14:textId="77777777" w:rsidR="00924A67" w:rsidRPr="00924A67" w:rsidRDefault="00924A67" w:rsidP="00924A67">
      <w:r w:rsidRPr="00924A67">
        <w:t xml:space="preserve">This is the gap this review identifies: while there is strong and growing evidence that AI adoption is associated with improved SME financial </w:t>
      </w:r>
      <w:r w:rsidRPr="00924A67">
        <w:rPr>
          <w:i/>
          <w:iCs/>
        </w:rPr>
        <w:t>outcomes</w:t>
      </w:r>
      <w:r w:rsidRPr="00924A67">
        <w:t xml:space="preserve">, there is comparatively little direct evidence on how AI changes the underlying </w:t>
      </w:r>
      <w:r w:rsidRPr="00924A67">
        <w:rPr>
          <w:i/>
          <w:iCs/>
        </w:rPr>
        <w:t>decision-making process</w:t>
      </w:r>
      <w:r w:rsidRPr="00924A67">
        <w:t xml:space="preserve"> itself — how SME owner-managers interpret, trust, and act on AI-generated financial recommendations. The recurring finding that human trust in AI outputs lags behind AI's technical performance [6] suggests this behavioural dimension, rather than the technology's predictive accuracy, may be the more binding constraint on realising AI's financial decision-making potential in SMEs.</w:t>
      </w:r>
    </w:p>
    <w:p w14:paraId="763D3BE3" w14:textId="77777777" w:rsidR="00924A67" w:rsidRPr="00924A67" w:rsidRDefault="00924A67" w:rsidP="00924A67">
      <w:pPr>
        <w:rPr>
          <w:b/>
          <w:bCs/>
        </w:rPr>
      </w:pPr>
      <w:r w:rsidRPr="00924A67">
        <w:rPr>
          <w:b/>
          <w:bCs/>
        </w:rPr>
        <w:t>Conclusion</w:t>
      </w:r>
    </w:p>
    <w:p w14:paraId="262F6E0D" w14:textId="77777777" w:rsidR="00924A67" w:rsidRPr="00924A67" w:rsidRDefault="00924A67" w:rsidP="00924A67">
      <w:r w:rsidRPr="00924A67">
        <w:t>The reviewed literature converges on a consistent picture: AI adoption offers genuine, empirically supported benefits for SME financial decision-making, from improved credit access [8,9] to more efficient accounting and audit processes [6,7], but these benefits are conditional on organisational readiness, digital maturity, and — increasingly — on the willingness of SME decision-makers to trust and act on AI-generated outputs. Future research addressing the behavioural and process-level dimensions of AI-assisted financial decision-making, ideally through longitudinal or experimental designs, would meaningfully extend this literature beyond its current outcome-focused emphasis.</w:t>
      </w:r>
    </w:p>
    <w:p w14:paraId="049DA27F" w14:textId="77777777" w:rsidR="00924A67" w:rsidRPr="00924A67" w:rsidRDefault="00924A67" w:rsidP="00924A67">
      <w:r w:rsidRPr="00924A67">
        <w:pict w14:anchorId="37E68F7D">
          <v:rect id="_x0000_i1031" style="width:0;height:1.5pt" o:hralign="center" o:hrstd="t" o:hr="t" fillcolor="#a0a0a0" stroked="f"/>
        </w:pict>
      </w:r>
    </w:p>
    <w:p w14:paraId="2E6F9756" w14:textId="77777777" w:rsidR="00924A67" w:rsidRPr="00924A67" w:rsidRDefault="00924A67" w:rsidP="00924A67">
      <w:pPr>
        <w:rPr>
          <w:b/>
          <w:bCs/>
        </w:rPr>
      </w:pPr>
      <w:r w:rsidRPr="00924A67">
        <w:rPr>
          <w:b/>
          <w:bCs/>
        </w:rPr>
        <w:t>References</w:t>
      </w:r>
    </w:p>
    <w:p w14:paraId="0A0D96BC" w14:textId="77777777" w:rsidR="00924A67" w:rsidRPr="00924A67" w:rsidRDefault="00924A67" w:rsidP="00924A67">
      <w:pPr>
        <w:numPr>
          <w:ilvl w:val="0"/>
          <w:numId w:val="1"/>
        </w:numPr>
      </w:pPr>
      <w:r w:rsidRPr="00924A67">
        <w:t xml:space="preserve">Yesuf Y, Fields Z. Artificial intelligence adoption as a driver of innovation and competitiveness in SMEs: a bibliometric and systematic review. F1000Research. </w:t>
      </w:r>
      <w:proofErr w:type="gramStart"/>
      <w:r w:rsidRPr="00924A67">
        <w:t>2025;14:1187</w:t>
      </w:r>
      <w:proofErr w:type="gramEnd"/>
      <w:r w:rsidRPr="00924A67">
        <w:t xml:space="preserve">. Available from: </w:t>
      </w:r>
      <w:hyperlink r:id="rId5" w:history="1">
        <w:r w:rsidRPr="00924A67">
          <w:rPr>
            <w:rStyle w:val="Hyperlink"/>
          </w:rPr>
          <w:t>https://pmc.ncbi.nlm.nih.gov/articles/PMC12749562/</w:t>
        </w:r>
      </w:hyperlink>
    </w:p>
    <w:p w14:paraId="465C71A1" w14:textId="77777777" w:rsidR="00924A67" w:rsidRPr="00924A67" w:rsidRDefault="00924A67" w:rsidP="00924A67">
      <w:pPr>
        <w:numPr>
          <w:ilvl w:val="0"/>
          <w:numId w:val="1"/>
        </w:numPr>
      </w:pPr>
      <w:r w:rsidRPr="00924A67">
        <w:lastRenderedPageBreak/>
        <w:t xml:space="preserve">Ayinaddis SG. Artificial intelligence adoption dynamics and knowledge in SMEs and large firms: a systematic review and bibliometric analysis. J Innov Knowl. 2025;10(3):100682. Available from: </w:t>
      </w:r>
      <w:hyperlink r:id="rId6" w:history="1">
        <w:r w:rsidRPr="00924A67">
          <w:rPr>
            <w:rStyle w:val="Hyperlink"/>
          </w:rPr>
          <w:t>https://www.sciencedirect.com/science/article/pii/S2444569X25000320</w:t>
        </w:r>
      </w:hyperlink>
    </w:p>
    <w:p w14:paraId="63800454" w14:textId="77777777" w:rsidR="00924A67" w:rsidRPr="00924A67" w:rsidRDefault="00924A67" w:rsidP="00924A67">
      <w:pPr>
        <w:numPr>
          <w:ilvl w:val="0"/>
          <w:numId w:val="1"/>
        </w:numPr>
      </w:pPr>
      <w:r w:rsidRPr="00924A67">
        <w:t xml:space="preserve">Sánchez E, Calderón R, Herrera F. Artificial intelligence adoption in SMEs: survey based on TOE–DOI framework, primary methodology and challenges. Appl Sci. 2025;15(12):6465. Available from: </w:t>
      </w:r>
      <w:hyperlink r:id="rId7" w:history="1">
        <w:r w:rsidRPr="00924A67">
          <w:rPr>
            <w:rStyle w:val="Hyperlink"/>
          </w:rPr>
          <w:t>https://doi.org/10.3390/app15126465</w:t>
        </w:r>
      </w:hyperlink>
    </w:p>
    <w:p w14:paraId="4132F85C" w14:textId="77777777" w:rsidR="00924A67" w:rsidRPr="00924A67" w:rsidRDefault="00924A67" w:rsidP="00924A67">
      <w:pPr>
        <w:numPr>
          <w:ilvl w:val="0"/>
          <w:numId w:val="1"/>
        </w:numPr>
      </w:pPr>
      <w:r w:rsidRPr="00924A67">
        <w:t xml:space="preserve">Badghish S, Soomro YA. Artificial intelligence adoption by SMEs to achieve sustainable business performance: application of technology–organization–environment framework. Sustainability. 2024;16(5):1864. Available from: </w:t>
      </w:r>
      <w:hyperlink r:id="rId8" w:history="1">
        <w:r w:rsidRPr="00924A67">
          <w:rPr>
            <w:rStyle w:val="Hyperlink"/>
          </w:rPr>
          <w:t>https://doi.org/10.3390/su16051864</w:t>
        </w:r>
      </w:hyperlink>
    </w:p>
    <w:p w14:paraId="5B6EC633" w14:textId="77777777" w:rsidR="00924A67" w:rsidRPr="00924A67" w:rsidRDefault="00924A67" w:rsidP="00924A67">
      <w:pPr>
        <w:numPr>
          <w:ilvl w:val="0"/>
          <w:numId w:val="1"/>
        </w:numPr>
      </w:pPr>
      <w:r w:rsidRPr="00924A67">
        <w:t xml:space="preserve">Fonseka K, Jaharadak AA, Raman M. Impact of e-commerce adoption on business performance of SMEs in Sri Lanka; moderating role of artificial intelligence. Int J Soc Econ. 2022;49(10):1518–1531. Available from: </w:t>
      </w:r>
      <w:hyperlink r:id="rId9" w:history="1">
        <w:r w:rsidRPr="00924A67">
          <w:rPr>
            <w:rStyle w:val="Hyperlink"/>
          </w:rPr>
          <w:t>https://doi.org/10.1108/IJSE-12-2021-0752</w:t>
        </w:r>
      </w:hyperlink>
    </w:p>
    <w:p w14:paraId="43B67821" w14:textId="77777777" w:rsidR="00924A67" w:rsidRPr="00924A67" w:rsidRDefault="00924A67" w:rsidP="00924A67">
      <w:pPr>
        <w:numPr>
          <w:ilvl w:val="0"/>
          <w:numId w:val="1"/>
        </w:numPr>
      </w:pPr>
      <w:r w:rsidRPr="00924A67">
        <w:t xml:space="preserve">Musa AMH, Lefkir H. The role of artificial intelligence in achieving auditing quality for small and medium enterprises in the Kingdom of Saudi Arabia. Int J Data Netw Sci. 2024;8(2):835–844. Available from: </w:t>
      </w:r>
      <w:hyperlink r:id="rId10" w:history="1">
        <w:r w:rsidRPr="00924A67">
          <w:rPr>
            <w:rStyle w:val="Hyperlink"/>
          </w:rPr>
          <w:t>https://doi.org/10.5267/j.ijdns.2023.12.021</w:t>
        </w:r>
      </w:hyperlink>
    </w:p>
    <w:p w14:paraId="4A2B6F84" w14:textId="77777777" w:rsidR="00924A67" w:rsidRPr="00924A67" w:rsidRDefault="00924A67" w:rsidP="00924A67">
      <w:pPr>
        <w:numPr>
          <w:ilvl w:val="0"/>
          <w:numId w:val="1"/>
        </w:numPr>
      </w:pPr>
      <w:r w:rsidRPr="00924A67">
        <w:t xml:space="preserve">Rawashdeh A, Bakhit M, Abaalkhail L. Determinants of artificial intelligence adoption in SMEs: the mediating role of accounting automation. Int J Data Netw Sci. 2023;7(1):25–34. Available from: </w:t>
      </w:r>
      <w:hyperlink r:id="rId11" w:history="1">
        <w:r w:rsidRPr="00924A67">
          <w:rPr>
            <w:rStyle w:val="Hyperlink"/>
          </w:rPr>
          <w:t>https://www.growingscience.com/ijds/Vol7/ijdns_2022_120.pdf</w:t>
        </w:r>
      </w:hyperlink>
    </w:p>
    <w:p w14:paraId="7F61F982" w14:textId="77777777" w:rsidR="00924A67" w:rsidRPr="00924A67" w:rsidRDefault="00924A67" w:rsidP="00924A67">
      <w:pPr>
        <w:numPr>
          <w:ilvl w:val="0"/>
          <w:numId w:val="1"/>
        </w:numPr>
      </w:pPr>
      <w:r w:rsidRPr="00924A67">
        <w:t xml:space="preserve">Bitetto A, Cerchiello P, Filomeni S, Tanda A, Tarantino B. Can we trust machine learning to predict the credit risk of small businesses? Rev Quant Finan Acc. 2024;63(3):925–954. Available from: </w:t>
      </w:r>
      <w:hyperlink r:id="rId12" w:history="1">
        <w:r w:rsidRPr="00924A67">
          <w:rPr>
            <w:rStyle w:val="Hyperlink"/>
          </w:rPr>
          <w:t>https://link.springer.com/article/10.1007/s11156-024-01278-0</w:t>
        </w:r>
      </w:hyperlink>
    </w:p>
    <w:p w14:paraId="6CADF945" w14:textId="77777777" w:rsidR="00924A67" w:rsidRPr="00924A67" w:rsidRDefault="00924A67" w:rsidP="00924A67">
      <w:pPr>
        <w:numPr>
          <w:ilvl w:val="0"/>
          <w:numId w:val="1"/>
        </w:numPr>
      </w:pPr>
      <w:r w:rsidRPr="00924A67">
        <w:t xml:space="preserve">Jin L, Liu M. Unlocking financial opportunities: the substantial alleviation of financing constraints on small and micro enterprises through digital inclusive finance. J Knowl Econ. 2025;16(1):2283–2309. Available from: </w:t>
      </w:r>
      <w:hyperlink r:id="rId13" w:history="1">
        <w:r w:rsidRPr="00924A67">
          <w:rPr>
            <w:rStyle w:val="Hyperlink"/>
          </w:rPr>
          <w:t>https://doi.org/10.1007/s13132-024-01863-7</w:t>
        </w:r>
      </w:hyperlink>
    </w:p>
    <w:p w14:paraId="6940AE72" w14:textId="77777777" w:rsidR="00924A67" w:rsidRPr="00924A67" w:rsidRDefault="00924A67" w:rsidP="00924A67">
      <w:pPr>
        <w:numPr>
          <w:ilvl w:val="0"/>
          <w:numId w:val="1"/>
        </w:numPr>
      </w:pPr>
      <w:r w:rsidRPr="00924A67">
        <w:t xml:space="preserve">Enshassi M, Nathan RJ, Soekmawati, et al. Potentials of artificial intelligence in digital marketing and financial technology for small and medium enterprises. IAES Int J Artif Intell. 2024;13(1):639–647. Available from: </w:t>
      </w:r>
      <w:hyperlink r:id="rId14" w:history="1">
        <w:r w:rsidRPr="00924A67">
          <w:rPr>
            <w:rStyle w:val="Hyperlink"/>
          </w:rPr>
          <w:t>https://doi.org/10.11591/ijai.v13.i1.pp639-647</w:t>
        </w:r>
      </w:hyperlink>
    </w:p>
    <w:p w14:paraId="71713848" w14:textId="77777777" w:rsidR="00924A67" w:rsidRPr="00924A67" w:rsidRDefault="00924A67" w:rsidP="00924A67">
      <w:pPr>
        <w:numPr>
          <w:ilvl w:val="0"/>
          <w:numId w:val="1"/>
        </w:numPr>
      </w:pPr>
      <w:r w:rsidRPr="00924A67">
        <w:t xml:space="preserve">Gupta V. An empirical evaluation of a generative artificial intelligence technology adoption model from entrepreneurs' perspectives. Systems. 2024;12(3):103. Available from: </w:t>
      </w:r>
      <w:hyperlink r:id="rId15" w:history="1">
        <w:r w:rsidRPr="00924A67">
          <w:rPr>
            <w:rStyle w:val="Hyperlink"/>
          </w:rPr>
          <w:t>https://doi.org/10.3390/systems12030103</w:t>
        </w:r>
      </w:hyperlink>
    </w:p>
    <w:p w14:paraId="1F891F70" w14:textId="77777777" w:rsidR="00924A67" w:rsidRPr="00924A67" w:rsidRDefault="00924A67" w:rsidP="00924A67">
      <w:pPr>
        <w:numPr>
          <w:ilvl w:val="0"/>
          <w:numId w:val="1"/>
        </w:numPr>
      </w:pPr>
      <w:r w:rsidRPr="00924A67">
        <w:lastRenderedPageBreak/>
        <w:t xml:space="preserve">Jalil MF, Lynch P, Marikan DABA, et al. The influential role of artificial intelligence (AI) adoption in digital value creation for small and medium enterprises (SMEs): does technological orientation mediate this relationship? AI Soc. 2025;40(3):1875–1896. Available from: </w:t>
      </w:r>
      <w:hyperlink r:id="rId16" w:history="1">
        <w:r w:rsidRPr="00924A67">
          <w:rPr>
            <w:rStyle w:val="Hyperlink"/>
          </w:rPr>
          <w:t>https://doi.org/10.1007/s00146-024-01969-1</w:t>
        </w:r>
      </w:hyperlink>
    </w:p>
    <w:p w14:paraId="6A87DA23" w14:textId="77777777" w:rsidR="00924A67" w:rsidRPr="00924A67" w:rsidRDefault="00924A67" w:rsidP="00924A67">
      <w:pPr>
        <w:numPr>
          <w:ilvl w:val="0"/>
          <w:numId w:val="1"/>
        </w:numPr>
      </w:pPr>
      <w:r w:rsidRPr="00924A67">
        <w:t xml:space="preserve">Kumar M, Raut RD, Mangla SK, et al. The adoption of artificial intelligence powered workforce management for effective revenue growth of micro, small, and medium scale enterprises (MSMEs). Prod Plan Control. 2024;35(13):1639–1655. Available from: </w:t>
      </w:r>
      <w:hyperlink r:id="rId17" w:history="1">
        <w:r w:rsidRPr="00924A67">
          <w:rPr>
            <w:rStyle w:val="Hyperlink"/>
          </w:rPr>
          <w:t>https://doi.org/10.1080/09537287.2022.2131620</w:t>
        </w:r>
      </w:hyperlink>
    </w:p>
    <w:p w14:paraId="78C8515F" w14:textId="77777777" w:rsidR="00E22BC4" w:rsidRDefault="00E22BC4"/>
    <w:sectPr w:rsidR="00E22B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50751"/>
    <w:multiLevelType w:val="multilevel"/>
    <w:tmpl w:val="D9F67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536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A67"/>
    <w:rsid w:val="008245A6"/>
    <w:rsid w:val="00924A67"/>
    <w:rsid w:val="00BA3100"/>
    <w:rsid w:val="00DD704E"/>
    <w:rsid w:val="00E22BC4"/>
    <w:rsid w:val="00E84A65"/>
    <w:rsid w:val="00FA25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6041F"/>
  <w15:chartTrackingRefBased/>
  <w15:docId w15:val="{BACB4729-E77F-4290-AB2A-483028991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4A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4A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4A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4A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4A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4A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A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A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A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A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4A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4A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4A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4A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4A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A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A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A67"/>
    <w:rPr>
      <w:rFonts w:eastAsiaTheme="majorEastAsia" w:cstheme="majorBidi"/>
      <w:color w:val="272727" w:themeColor="text1" w:themeTint="D8"/>
    </w:rPr>
  </w:style>
  <w:style w:type="paragraph" w:styleId="Title">
    <w:name w:val="Title"/>
    <w:basedOn w:val="Normal"/>
    <w:next w:val="Normal"/>
    <w:link w:val="TitleChar"/>
    <w:uiPriority w:val="10"/>
    <w:qFormat/>
    <w:rsid w:val="00924A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A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A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A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A67"/>
    <w:pPr>
      <w:spacing w:before="160"/>
      <w:jc w:val="center"/>
    </w:pPr>
    <w:rPr>
      <w:i/>
      <w:iCs/>
      <w:color w:val="404040" w:themeColor="text1" w:themeTint="BF"/>
    </w:rPr>
  </w:style>
  <w:style w:type="character" w:customStyle="1" w:styleId="QuoteChar">
    <w:name w:val="Quote Char"/>
    <w:basedOn w:val="DefaultParagraphFont"/>
    <w:link w:val="Quote"/>
    <w:uiPriority w:val="29"/>
    <w:rsid w:val="00924A67"/>
    <w:rPr>
      <w:i/>
      <w:iCs/>
      <w:color w:val="404040" w:themeColor="text1" w:themeTint="BF"/>
    </w:rPr>
  </w:style>
  <w:style w:type="paragraph" w:styleId="ListParagraph">
    <w:name w:val="List Paragraph"/>
    <w:basedOn w:val="Normal"/>
    <w:uiPriority w:val="34"/>
    <w:qFormat/>
    <w:rsid w:val="00924A67"/>
    <w:pPr>
      <w:ind w:left="720"/>
      <w:contextualSpacing/>
    </w:pPr>
  </w:style>
  <w:style w:type="character" w:styleId="IntenseEmphasis">
    <w:name w:val="Intense Emphasis"/>
    <w:basedOn w:val="DefaultParagraphFont"/>
    <w:uiPriority w:val="21"/>
    <w:qFormat/>
    <w:rsid w:val="00924A67"/>
    <w:rPr>
      <w:i/>
      <w:iCs/>
      <w:color w:val="2F5496" w:themeColor="accent1" w:themeShade="BF"/>
    </w:rPr>
  </w:style>
  <w:style w:type="paragraph" w:styleId="IntenseQuote">
    <w:name w:val="Intense Quote"/>
    <w:basedOn w:val="Normal"/>
    <w:next w:val="Normal"/>
    <w:link w:val="IntenseQuoteChar"/>
    <w:uiPriority w:val="30"/>
    <w:qFormat/>
    <w:rsid w:val="00924A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4A67"/>
    <w:rPr>
      <w:i/>
      <w:iCs/>
      <w:color w:val="2F5496" w:themeColor="accent1" w:themeShade="BF"/>
    </w:rPr>
  </w:style>
  <w:style w:type="character" w:styleId="IntenseReference">
    <w:name w:val="Intense Reference"/>
    <w:basedOn w:val="DefaultParagraphFont"/>
    <w:uiPriority w:val="32"/>
    <w:qFormat/>
    <w:rsid w:val="00924A67"/>
    <w:rPr>
      <w:b/>
      <w:bCs/>
      <w:smallCaps/>
      <w:color w:val="2F5496" w:themeColor="accent1" w:themeShade="BF"/>
      <w:spacing w:val="5"/>
    </w:rPr>
  </w:style>
  <w:style w:type="character" w:styleId="Hyperlink">
    <w:name w:val="Hyperlink"/>
    <w:basedOn w:val="DefaultParagraphFont"/>
    <w:uiPriority w:val="99"/>
    <w:unhideWhenUsed/>
    <w:rsid w:val="00924A67"/>
    <w:rPr>
      <w:color w:val="0563C1" w:themeColor="hyperlink"/>
      <w:u w:val="single"/>
    </w:rPr>
  </w:style>
  <w:style w:type="character" w:styleId="UnresolvedMention">
    <w:name w:val="Unresolved Mention"/>
    <w:basedOn w:val="DefaultParagraphFont"/>
    <w:uiPriority w:val="99"/>
    <w:semiHidden/>
    <w:unhideWhenUsed/>
    <w:rsid w:val="00924A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su16051864" TargetMode="External"/><Relationship Id="rId13" Type="http://schemas.openxmlformats.org/officeDocument/2006/relationships/hyperlink" Target="https://doi.org/10.1007/s13132-024-01863-7"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3390/app15126465" TargetMode="External"/><Relationship Id="rId12" Type="http://schemas.openxmlformats.org/officeDocument/2006/relationships/hyperlink" Target="https://link.springer.com/article/10.1007/s11156-024-01278-0" TargetMode="External"/><Relationship Id="rId17" Type="http://schemas.openxmlformats.org/officeDocument/2006/relationships/hyperlink" Target="https://doi.org/10.1080/09537287.2022.2131620" TargetMode="External"/><Relationship Id="rId2" Type="http://schemas.openxmlformats.org/officeDocument/2006/relationships/styles" Target="styles.xml"/><Relationship Id="rId16" Type="http://schemas.openxmlformats.org/officeDocument/2006/relationships/hyperlink" Target="https://doi.org/10.1007/s00146-024-01969-1" TargetMode="External"/><Relationship Id="rId1" Type="http://schemas.openxmlformats.org/officeDocument/2006/relationships/numbering" Target="numbering.xml"/><Relationship Id="rId6" Type="http://schemas.openxmlformats.org/officeDocument/2006/relationships/hyperlink" Target="https://www.sciencedirect.com/science/article/pii/S2444569X25000320" TargetMode="External"/><Relationship Id="rId11" Type="http://schemas.openxmlformats.org/officeDocument/2006/relationships/hyperlink" Target="https://www.growingscience.com/ijds/Vol7/ijdns_2022_120.pdf" TargetMode="External"/><Relationship Id="rId5" Type="http://schemas.openxmlformats.org/officeDocument/2006/relationships/hyperlink" Target="https://pmc.ncbi.nlm.nih.gov/articles/PMC12749562/" TargetMode="External"/><Relationship Id="rId15" Type="http://schemas.openxmlformats.org/officeDocument/2006/relationships/hyperlink" Target="https://doi.org/10.3390/systems12030103" TargetMode="External"/><Relationship Id="rId10" Type="http://schemas.openxmlformats.org/officeDocument/2006/relationships/hyperlink" Target="https://doi.org/10.5267/j.ijdns.2023.12.021"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i.org/10.1108/IJSE-12-2021-0752" TargetMode="External"/><Relationship Id="rId14" Type="http://schemas.openxmlformats.org/officeDocument/2006/relationships/hyperlink" Target="https://doi.org/10.11591/ijai.v13.i1.pp639-6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2325</Words>
  <Characters>13257</Characters>
  <Application>Microsoft Office Word</Application>
  <DocSecurity>0</DocSecurity>
  <Lines>110</Lines>
  <Paragraphs>31</Paragraphs>
  <ScaleCrop>false</ScaleCrop>
  <Company/>
  <LinksUpToDate>false</LinksUpToDate>
  <CharactersWithSpaces>15551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Prajjwol shrestha</dc:creator>
  <cp:keywords/>
  <dc:description/>
  <cp:lastModifiedBy>Prajjwol shrestha</cp:lastModifiedBy>
  <cp:revision>1</cp:revision>
  <dcterms:created xsi:type="dcterms:W3CDTF">2026-09-29T18:03:00Z</dcterms:created>
  <dcterms:modified xsi:type="dcterms:W3CDTF">2026-09-29T18:04:00Z</dcterms:modified>
</cp:coreProperties>
</file>