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UNAUDITED TEST FIGURES — NOT A REAL BORROWER</w:t>
      </w:r>
    </w:p>
    <w:p>
      <w:r>
        <w:t>بيانات تجريبية اصطناعية — ليست بيانات عميل حقيقي</w:t>
      </w:r>
    </w:p>
    <w:p>
      <w:r>
        <w:t>Entity: Namaa Demo Trading LLC / شركة نماء التجريبية للتجارة</w:t>
      </w:r>
    </w:p>
    <w:p>
      <w:r>
        <w:t>Reporting period / الفترة: FY 2025</w:t>
      </w:r>
    </w:p>
    <w:p>
      <w:r>
        <w:t>Currency / العملة: SAR / ريال سعودي</w:t>
      </w:r>
    </w:p>
    <w:p>
      <w:r>
        <w:t>Units: individual SAR, not thousands / بالريال وليس بالآلاف</w:t>
      </w:r>
    </w:p>
    <w:p>
      <w:r>
        <w:t>Revenue / الإيرادات: 2000000</w:t>
      </w:r>
    </w:p>
    <w:p>
      <w:r>
        <w:t>Prior-year revenue / إيرادات السنة السابقة: 1600000</w:t>
      </w:r>
    </w:p>
    <w:p>
      <w:r>
        <w:t>Gross profit / مجمل الربح: 600000</w:t>
      </w:r>
    </w:p>
    <w:p>
      <w:r>
        <w:t>Net profit / صافي الربح: 250000</w:t>
      </w:r>
    </w:p>
    <w:p>
      <w:r>
        <w:t>Current assets / الأصول المتداولة: 900000</w:t>
      </w:r>
    </w:p>
    <w:p>
      <w:r>
        <w:t>Inventory / المخزون: 200000</w:t>
      </w:r>
    </w:p>
    <w:p>
      <w:r>
        <w:t>Current liabilities / الخصوم المتداولة: 400000</w:t>
      </w:r>
    </w:p>
    <w:p>
      <w:r>
        <w:t>Total debt / إجمالي الدين: 500000</w:t>
      </w:r>
    </w:p>
    <w:p>
      <w:r>
        <w:t>Total liabilities / إجمالي الالتزامات: 700000</w:t>
      </w:r>
    </w:p>
    <w:p>
      <w:r>
        <w:t>Equity / حقوق الملكية: 800000</w:t>
      </w:r>
    </w:p>
    <w:p>
      <w:r>
        <w:t>EBIT / الربح قبل الفوائد والضرائب: 300000</w:t>
      </w:r>
    </w:p>
    <w:p>
      <w:r>
        <w:t>Interest expense / مصروف الفوائد: 50000</w:t>
      </w:r>
    </w:p>
    <w:p>
      <w:r>
        <w:t>Cost of sales / تكلفة المبيعات: 1400000</w:t>
      </w:r>
    </w:p>
    <w:p>
      <w:r>
        <w:t>Average inventory / متوسط المخزون: 200000</w:t>
      </w:r>
    </w:p>
    <w:p>
      <w:r>
        <w:t>Average receivables / متوسط الذمم المدينة: 200000</w:t>
      </w:r>
    </w:p>
    <w:p>
      <w:r>
        <w:t>Credit sales / المبيعات الآجلة: 1500000</w:t>
      </w:r>
    </w:p>
    <w:p/>
    <w:p>
      <w:r>
        <w:t>Reviewed cash flow assumptions for demonstration (not extracted from profit):</w:t>
      </w:r>
    </w:p>
    <w:p>
      <w:r>
        <w:t>Cash available for annual debt service / النقد المتاح لخدمة الدين السنوية: 300000</w:t>
      </w:r>
    </w:p>
    <w:p>
      <w:r>
        <w:t>Existing annual debt service / خدمة الدين الحالية السنوية: 100000</w:t>
      </w:r>
    </w:p>
    <w:p>
      <w:r>
        <w:t>Proposed annual debt service / خدمة الدين المقترحة السنوية: 100000</w:t>
      </w:r>
    </w:p>
    <w:p>
      <w:r>
        <w:t>Audit opinion: No audit; synthetic fixture. Not a substitute for approved documentation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