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 xml:space="preserve">PROBE - who owns the square where a vertical border crosses a horizontal one?</w:t>
      </w:r>
    </w:p>
    <w:p>
      <w:r>
        <w:t xml:space="preserve">Both lines in tables 1 and 2 are 12pt single, so they tie on weight and on style; only their colour differs, and the two tables swap which axis carries the darker one. Read the colour of the four crossing squares in each.</w:t>
      </w:r>
    </w:p>
    <w:p>
      <w:r>
        <w:t xml:space="preserve">  - dark in table 1 and dark in table 2   -&gt; the square follows the MS-OI29500 17.4.66 order, darker wins</w:t>
      </w:r>
    </w:p>
    <w:p>
      <w:r>
        <w:t xml:space="preserve">  - dark in table 1, pale in table 2      -&gt; the vertical always wins</w:t>
      </w:r>
    </w:p>
    <w:p>
      <w:r>
        <w:t xml:space="preserve">  - pale in table 1, dark in table 2      -&gt; the horizontal always wins</w:t>
      </w:r>
    </w:p>
    <w:p>
      <w:r>
        <w:t xml:space="preserve">MEASURED: Word draws pale in table 1 and dark in table 2. At equal weight the horizontal takes the square, whichever axis is darker - so colour never decides. Table 5 adds the weight half.</w:t>
      </w:r>
    </w:p>
    <w:p>
      <w:r>
        <w:rPr>
          <w:b/>
        </w:rPr>
        <w:t xml:space="preserve">Table 1 - vertical dark, horizontal pale.</w:t>
      </w:r>
    </w:p>
    <w:tbl>
      <w:tblPr>
        <w:tblW w:w="6000" w:type="dxa"/>
        <w:tblBorders>
          <w:insideV w:val="single" w:sz="96" w:space="0" w:color="000000"/>
          <w:insideH w:val="single" w:sz="96" w:space="0" w:color="BFBFBF"/>
        </w:tblBorders>
        <w:tblLayout w:type="fixed"/>
      </w:tblPr>
      <w:tblGrid>
        <w:gridCol w:w="2000"/>
        <w:gridCol w:w="2000"/>
        <w:gridCol w:w="2000"/>
      </w:tblGrid>
      <w:tr>
        <w:tc>
          <w:tcPr>
            <w:tcW w:w="2000" w:type="dxa"/>
          </w:tcPr>
          <w:p>
            <w:r>
              <w:t xml:space="preserve">a</w:t>
            </w:r>
          </w:p>
        </w:tc>
        <w:tc>
          <w:tcPr>
            <w:tcW w:w="2000" w:type="dxa"/>
          </w:tcPr>
          <w:p>
            <w:r>
              <w:t xml:space="preserve">b</w:t>
            </w:r>
          </w:p>
        </w:tc>
        <w:tc>
          <w:tcPr>
            <w:tcW w:w="2000" w:type="dxa"/>
          </w:tcPr>
          <w:p>
            <w:r>
              <w:t xml:space="preserve">c</w:t>
            </w:r>
          </w:p>
        </w:tc>
      </w:tr>
      <w:tr>
        <w:tc>
          <w:tcPr>
            <w:tcW w:w="2000" w:type="dxa"/>
          </w:tcPr>
          <w:p>
            <w:r>
              <w:t xml:space="preserve">a</w:t>
            </w:r>
          </w:p>
        </w:tc>
        <w:tc>
          <w:tcPr>
            <w:tcW w:w="2000" w:type="dxa"/>
          </w:tcPr>
          <w:p>
            <w:r>
              <w:t xml:space="preserve">b</w:t>
            </w:r>
          </w:p>
        </w:tc>
        <w:tc>
          <w:tcPr>
            <w:tcW w:w="2000" w:type="dxa"/>
          </w:tcPr>
          <w:p>
            <w:r>
              <w:t xml:space="preserve">c</w:t>
            </w:r>
          </w:p>
        </w:tc>
      </w:tr>
      <w:tr>
        <w:tc>
          <w:tcPr>
            <w:tcW w:w="2000" w:type="dxa"/>
          </w:tcPr>
          <w:p>
            <w:r>
              <w:t xml:space="preserve">a</w:t>
            </w:r>
          </w:p>
        </w:tc>
        <w:tc>
          <w:tcPr>
            <w:tcW w:w="2000" w:type="dxa"/>
          </w:tcPr>
          <w:p>
            <w:r>
              <w:t xml:space="preserve">b</w:t>
            </w:r>
          </w:p>
        </w:tc>
        <w:tc>
          <w:tcPr>
            <w:tcW w:w="2000" w:type="dxa"/>
          </w:tcPr>
          <w:p>
            <w:r>
              <w:t xml:space="preserve">c</w:t>
            </w:r>
          </w:p>
        </w:tc>
      </w:tr>
    </w:tbl>
    <w:p>
      <w:r>
        <w:t xml:space="preserve"/>
      </w:r>
    </w:p>
    <w:p>
      <w:r>
        <w:rPr>
          <w:b/>
        </w:rPr>
        <w:t xml:space="preserve">Table 2 - vertical pale, horizontal dark.</w:t>
      </w:r>
    </w:p>
    <w:tbl>
      <w:tblPr>
        <w:tblW w:w="6000" w:type="dxa"/>
        <w:tblBorders>
          <w:insideV w:val="single" w:sz="96" w:space="0" w:color="BFBFBF"/>
          <w:insideH w:val="single" w:sz="96" w:space="0" w:color="000000"/>
        </w:tblBorders>
        <w:tblLayout w:type="fixed"/>
      </w:tblPr>
      <w:tblGrid>
        <w:gridCol w:w="2000"/>
        <w:gridCol w:w="2000"/>
        <w:gridCol w:w="2000"/>
      </w:tblGrid>
      <w:tr>
        <w:tc>
          <w:tcPr>
            <w:tcW w:w="2000" w:type="dxa"/>
          </w:tcPr>
          <w:p>
            <w:r>
              <w:t xml:space="preserve">d</w:t>
            </w:r>
          </w:p>
        </w:tc>
        <w:tc>
          <w:tcPr>
            <w:tcW w:w="2000" w:type="dxa"/>
          </w:tcPr>
          <w:p>
            <w:r>
              <w:t xml:space="preserve">e</w:t>
            </w:r>
          </w:p>
        </w:tc>
        <w:tc>
          <w:tcPr>
            <w:tcW w:w="2000" w:type="dxa"/>
          </w:tcPr>
          <w:p>
            <w:r>
              <w:t xml:space="preserve">f</w:t>
            </w:r>
          </w:p>
        </w:tc>
      </w:tr>
      <w:tr>
        <w:tc>
          <w:tcPr>
            <w:tcW w:w="2000" w:type="dxa"/>
          </w:tcPr>
          <w:p>
            <w:r>
              <w:t xml:space="preserve">d</w:t>
            </w:r>
          </w:p>
        </w:tc>
        <w:tc>
          <w:tcPr>
            <w:tcW w:w="2000" w:type="dxa"/>
          </w:tcPr>
          <w:p>
            <w:r>
              <w:t xml:space="preserve">e</w:t>
            </w:r>
          </w:p>
        </w:tc>
        <w:tc>
          <w:tcPr>
            <w:tcW w:w="2000" w:type="dxa"/>
          </w:tcPr>
          <w:p>
            <w:r>
              <w:t xml:space="preserve">f</w:t>
            </w:r>
          </w:p>
        </w:tc>
      </w:tr>
      <w:tr>
        <w:tc>
          <w:tcPr>
            <w:tcW w:w="2000" w:type="dxa"/>
          </w:tcPr>
          <w:p>
            <w:r>
              <w:t xml:space="preserve">d</w:t>
            </w:r>
          </w:p>
        </w:tc>
        <w:tc>
          <w:tcPr>
            <w:tcW w:w="2000" w:type="dxa"/>
          </w:tcPr>
          <w:p>
            <w:r>
              <w:t xml:space="preserve">e</w:t>
            </w:r>
          </w:p>
        </w:tc>
        <w:tc>
          <w:tcPr>
            <w:tcW w:w="2000" w:type="dxa"/>
          </w:tcPr>
          <w:p>
            <w:r>
              <w:t xml:space="preserve">f</w:t>
            </w:r>
          </w:p>
        </w:tc>
      </w:tr>
    </w:tbl>
    <w:p>
      <w:r>
        <w:t xml:space="preserve"/>
      </w:r>
    </w:p>
    <w:p>
      <w:r>
        <w:rPr>
          <w:b/>
        </w:rPr>
        <w:t xml:space="preserve">Table 3 - both axes 12pt double. MEASURED.</w:t>
      </w:r>
    </w:p>
    <w:p>
      <w:r>
        <w:t xml:space="preserve">A double is two rules with a gap, so the crossing is ideally a two-by-two lattice of ink with both gaps running through it, and that is what Word draws: the borders read as negative space, so every cell looks separately enclosed. The engine drew the square along one axis instead, which gave two rungs.</w:t>
      </w:r>
    </w:p>
    <w:tbl>
      <w:tblPr>
        <w:tblW w:w="6000" w:type="dxa"/>
        <w:tblBorders>
          <w:insideV w:val="double" w:sz="96" w:space="0" w:color="000000"/>
          <w:insideH w:val="double" w:sz="96" w:space="0" w:color="000000"/>
        </w:tblBorders>
        <w:tblLayout w:type="fixed"/>
      </w:tblPr>
      <w:tblGrid>
        <w:gridCol w:w="2000"/>
        <w:gridCol w:w="2000"/>
        <w:gridCol w:w="2000"/>
      </w:tblGrid>
      <w:tr>
        <w:tc>
          <w:tcPr>
            <w:tcW w:w="2000" w:type="dxa"/>
          </w:tcPr>
          <w:p>
            <w:r>
              <w:t xml:space="preserve">g</w:t>
            </w:r>
          </w:p>
        </w:tc>
        <w:tc>
          <w:tcPr>
            <w:tcW w:w="2000" w:type="dxa"/>
          </w:tcPr>
          <w:p>
            <w:r>
              <w:t xml:space="preserve">h</w:t>
            </w:r>
          </w:p>
        </w:tc>
        <w:tc>
          <w:tcPr>
            <w:tcW w:w="2000" w:type="dxa"/>
          </w:tcPr>
          <w:p>
            <w:r>
              <w:t xml:space="preserve">i</w:t>
            </w:r>
          </w:p>
        </w:tc>
      </w:tr>
      <w:tr>
        <w:tc>
          <w:tcPr>
            <w:tcW w:w="2000" w:type="dxa"/>
          </w:tcPr>
          <w:p>
            <w:r>
              <w:t xml:space="preserve">g</w:t>
            </w:r>
          </w:p>
        </w:tc>
        <w:tc>
          <w:tcPr>
            <w:tcW w:w="2000" w:type="dxa"/>
          </w:tcPr>
          <w:p>
            <w:r>
              <w:t xml:space="preserve">h</w:t>
            </w:r>
          </w:p>
        </w:tc>
        <w:tc>
          <w:tcPr>
            <w:tcW w:w="2000" w:type="dxa"/>
          </w:tcPr>
          <w:p>
            <w:r>
              <w:t xml:space="preserve">i</w:t>
            </w:r>
          </w:p>
        </w:tc>
      </w:tr>
      <w:tr>
        <w:tc>
          <w:tcPr>
            <w:tcW w:w="2000" w:type="dxa"/>
          </w:tcPr>
          <w:p>
            <w:r>
              <w:t xml:space="preserve">g</w:t>
            </w:r>
          </w:p>
        </w:tc>
        <w:tc>
          <w:tcPr>
            <w:tcW w:w="2000" w:type="dxa"/>
          </w:tcPr>
          <w:p>
            <w:r>
              <w:t xml:space="preserve">h</w:t>
            </w:r>
          </w:p>
        </w:tc>
        <w:tc>
          <w:tcPr>
            <w:tcW w:w="2000" w:type="dxa"/>
          </w:tcPr>
          <w:p>
            <w:r>
              <w:t xml:space="preserve">i</w:t>
            </w:r>
          </w:p>
        </w:tc>
      </w:tr>
    </w:tbl>
    <w:p>
      <w:r>
        <w:t xml:space="preserve"/>
      </w:r>
    </w:p>
    <w:p>
      <w:r>
        <w:rPr>
          <w:b/>
        </w:rPr>
        <w:t xml:space="preserve">Table 4 - 12pt single horizontal crossing a 12pt double vertical. OPEN.</w:t>
      </w:r>
    </w:p>
    <w:p>
      <w:r>
        <w:t xml:space="preserve">Tables 1 to 3 settle a crossing into the product of its two axes: each one divides the square across its own short side, and the horizontal colours it. This is the shape that product makes a claim about with no measurement behind it. Read whether the solid horizontal runs through the crossing unbroken, or whether the vertical's 4pt gap is punched through it, leaving the horizontal in two pieces at every crossing.</w:t>
      </w:r>
    </w:p>
    <w:tbl>
      <w:tblPr>
        <w:tblW w:w="6000" w:type="dxa"/>
        <w:tblBorders>
          <w:insideV w:val="double" w:sz="96" w:space="0" w:color="000000"/>
          <w:insideH w:val="single" w:sz="96" w:space="0" w:color="000000"/>
        </w:tblBorders>
        <w:tblLayout w:type="fixed"/>
      </w:tblPr>
      <w:tblGrid>
        <w:gridCol w:w="2000"/>
        <w:gridCol w:w="2000"/>
        <w:gridCol w:w="2000"/>
      </w:tblGrid>
      <w:tr>
        <w:tc>
          <w:tcPr>
            <w:tcW w:w="2000" w:type="dxa"/>
          </w:tcPr>
          <w:p>
            <w:r>
              <w:t xml:space="preserve">e</w:t>
            </w:r>
          </w:p>
        </w:tc>
        <w:tc>
          <w:tcPr>
            <w:tcW w:w="2000" w:type="dxa"/>
          </w:tcPr>
          <w:p>
            <w:r>
              <w:t xml:space="preserve">f</w:t>
            </w:r>
          </w:p>
        </w:tc>
        <w:tc>
          <w:tcPr>
            <w:tcW w:w="2000" w:type="dxa"/>
          </w:tcPr>
          <w:p>
            <w:r>
              <w:t xml:space="preserve">g</w:t>
            </w:r>
          </w:p>
        </w:tc>
      </w:tr>
      <w:tr>
        <w:tc>
          <w:tcPr>
            <w:tcW w:w="2000" w:type="dxa"/>
          </w:tcPr>
          <w:p>
            <w:r>
              <w:t xml:space="preserve">e</w:t>
            </w:r>
          </w:p>
        </w:tc>
        <w:tc>
          <w:tcPr>
            <w:tcW w:w="2000" w:type="dxa"/>
          </w:tcPr>
          <w:p>
            <w:r>
              <w:t xml:space="preserve">f</w:t>
            </w:r>
          </w:p>
        </w:tc>
        <w:tc>
          <w:tcPr>
            <w:tcW w:w="2000" w:type="dxa"/>
          </w:tcPr>
          <w:p>
            <w:r>
              <w:t xml:space="preserve">g</w:t>
            </w:r>
          </w:p>
        </w:tc>
      </w:tr>
      <w:tr>
        <w:tc>
          <w:tcPr>
            <w:tcW w:w="2000" w:type="dxa"/>
          </w:tcPr>
          <w:p>
            <w:r>
              <w:t xml:space="preserve">e</w:t>
            </w:r>
          </w:p>
        </w:tc>
        <w:tc>
          <w:tcPr>
            <w:tcW w:w="2000" w:type="dxa"/>
          </w:tcPr>
          <w:p>
            <w:r>
              <w:t xml:space="preserve">f</w:t>
            </w:r>
          </w:p>
        </w:tc>
        <w:tc>
          <w:tcPr>
            <w:tcW w:w="2000" w:type="dxa"/>
          </w:tcPr>
          <w:p>
            <w:r>
              <w:t xml:space="preserve">g</w:t>
            </w:r>
          </w:p>
        </w:tc>
      </w:tr>
    </w:tbl>
    <w:p>
      <w:r>
        <w:t xml:space="preserve"/>
      </w:r>
    </w:p>
    <w:p>
      <w:r>
        <w:rPr>
          <w:b/>
        </w:rPr>
        <w:t xml:space="preserve">Table 5 - a 12pt black vertical crossing a 3pt pale horizontal. MEASURED.</w:t>
      </w:r>
    </w:p>
    <w:p>
      <w:r>
        <w:t xml:space="preserve">Tables 1 and 2 tie the two axes on weight, which is what makes them a test of colour and also what keeps them silent about weight. Word draws the vertical through these crossings, so the heavier line wins and the horizontal only breaks a tie - which is the 17.4.66 weight step and nothing after it.</w:t>
      </w:r>
    </w:p>
    <w:tbl>
      <w:tblPr>
        <w:tblW w:w="6000" w:type="dxa"/>
        <w:tblBorders>
          <w:insideV w:val="single" w:sz="96" w:space="0" w:color="000000"/>
          <w:insideH w:val="single" w:sz="24" w:space="0" w:color="BFBFBF"/>
        </w:tblBorders>
        <w:tblLayout w:type="fixed"/>
      </w:tblPr>
      <w:tblGrid>
        <w:gridCol w:w="2000"/>
        <w:gridCol w:w="2000"/>
        <w:gridCol w:w="2000"/>
      </w:tblGrid>
      <w:tr>
        <w:tc>
          <w:tcPr>
            <w:tcW w:w="2000" w:type="dxa"/>
          </w:tcPr>
          <w:p>
            <w:r>
              <w:t xml:space="preserve">h</w:t>
            </w:r>
          </w:p>
        </w:tc>
        <w:tc>
          <w:tcPr>
            <w:tcW w:w="2000" w:type="dxa"/>
          </w:tcPr>
          <w:p>
            <w:r>
              <w:t xml:space="preserve">i</w:t>
            </w:r>
          </w:p>
        </w:tc>
        <w:tc>
          <w:tcPr>
            <w:tcW w:w="2000" w:type="dxa"/>
          </w:tcPr>
          <w:p>
            <w:r>
              <w:t xml:space="preserve">j</w:t>
            </w:r>
          </w:p>
        </w:tc>
      </w:tr>
      <w:tr>
        <w:tc>
          <w:tcPr>
            <w:tcW w:w="2000" w:type="dxa"/>
          </w:tcPr>
          <w:p>
            <w:r>
              <w:t xml:space="preserve">h</w:t>
            </w:r>
          </w:p>
        </w:tc>
        <w:tc>
          <w:tcPr>
            <w:tcW w:w="2000" w:type="dxa"/>
          </w:tcPr>
          <w:p>
            <w:r>
              <w:t xml:space="preserve">i</w:t>
            </w:r>
          </w:p>
        </w:tc>
        <w:tc>
          <w:tcPr>
            <w:tcW w:w="2000" w:type="dxa"/>
          </w:tcPr>
          <w:p>
            <w:r>
              <w:t xml:space="preserve">j</w:t>
            </w:r>
          </w:p>
        </w:tc>
      </w:tr>
      <w:tr>
        <w:tc>
          <w:tcPr>
            <w:tcW w:w="2000" w:type="dxa"/>
          </w:tcPr>
          <w:p>
            <w:r>
              <w:t xml:space="preserve">h</w:t>
            </w:r>
          </w:p>
        </w:tc>
        <w:tc>
          <w:tcPr>
            <w:tcW w:w="2000" w:type="dxa"/>
          </w:tcPr>
          <w:p>
            <w:r>
              <w:t xml:space="preserve">i</w:t>
            </w:r>
          </w:p>
        </w:tc>
        <w:tc>
          <w:tcPr>
            <w:tcW w:w="2000" w:type="dxa"/>
          </w:tcPr>
          <w:p>
            <w:r>
              <w:t xml:space="preserve">j</w:t>
            </w:r>
          </w:p>
        </w:tc>
      </w:tr>
    </w:tbl>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eastAsia="Times New Roman" w:cs="Times New Roman"/>
        <w:kern w:val="2"/>
        <w:sz w:val="20"/>
        <w:szCs w:val="20"/>
      </w:rPr>
    </w:rPrDefault>
    <w:pPrDefault>
      <w:pPr>
        <w:spacing w:before="0" w:after="0" w:line="24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S" Type="http://schemas.openxmlformats.org/officeDocument/2006/relationships/styles" Target="styles.xml"/>
</Relationships>

</file>