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t>Charts:</w:t>
      </w:r>
    </w:p>
    <w:p>
      <w:r>
        <w:drawing>
          <wp:inline distT="0" distB="0" distL="0" distR="0">
            <wp:extent cx="4572000" cy="2743200"/>
            <wp:docPr id="1" name="Bar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>
      <w:r>
        <w:drawing>
          <wp:inline distT="0" distB="0" distL="0" distR="0">
            <wp:extent cx="3657600" cy="2743200"/>
            <wp:docPr id="1" name="Pie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>
      <w:r>
        <w:drawing>
          <wp:inline distT="0" distB="0" distL="0" distR="0">
            <wp:extent cx="4572000" cy="2286000"/>
            <wp:docPr id="1" name="Line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theme" Target="theme/theme1.xml"/>
<Relationship Id="rId20" Type="http://schemas.openxmlformats.org/officeDocument/2006/relationships/chart" Target="charts/chart1.xml"/>
<Relationship Id="rId21" Type="http://schemas.openxmlformats.org/officeDocument/2006/relationships/chart" Target="charts/chart2.xml"/>
<Relationship Id="rId22" Type="http://schemas.openxmlformats.org/officeDocument/2006/relationships/chart" Target="charts/chart3.xml"/>
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pPr>
              <a:defRPr sz="1400"/>
            </a:pPr>
            <a:r>
              <a:t>Sales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S!$B$1</c:f>
              <c:strCache>
                <c:ptCount val="1"/>
                <c:pt idx="0">
                  <c:v>North</c:v>
                </c:pt>
              </c:strCache>
            </c:strRef>
          </c:tx>
          <c:cat>
            <c:strRef>
              <c:f>S!$A$2:$A$4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S!$B$2:$B$4</c:f>
              <c:numCache>
                <c:formatCode>General</c:formatCode>
                <c:ptCount val="3"/>
                <c:pt idx="0">
                  <c:v>4.0</c:v>
                </c:pt>
                <c:pt idx="1">
                  <c:v>7.0</c:v>
                </c:pt>
                <c:pt idx="2">
                  <c:v>5.0</c:v>
                </c:pt>
              </c:numCache>
            </c:numRef>
          </c:val>
        </c:ser>
        <c:ser>
          <c:idx val="1"/>
          <c:order val="1"/>
          <c:tx>
            <c:strRef>
              <c:f>S!$B$1</c:f>
              <c:strCache>
                <c:ptCount val="1"/>
                <c:pt idx="0">
                  <c:v>South</c:v>
                </c:pt>
              </c:strCache>
            </c:strRef>
          </c:tx>
          <c:cat>
            <c:strRef>
              <c:f>S!$A$2:$A$4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S!$B$2:$B$4</c:f>
              <c:numCache>
                <c:formatCode>General</c:formatCode>
                <c:ptCount val="3"/>
                <c:pt idx="0">
                  <c:v>3.0</c:v>
                </c:pt>
                <c:pt idx="1">
                  <c:v>2.0</c:v>
                </c:pt>
                <c:pt idx="2">
                  <c:v>6.0</c:v>
                </c:pt>
              </c:numCache>
            </c:numRef>
          </c:val>
        </c:ser>
        <c:gapWidth val="150"/>
        <c:overlap val="-27"/>
        <c:axId val="111"/>
        <c:axId val="222"/>
      </c:barChart>
      <c:catAx>
        <c:axId val="111"/>
        <c:scaling>
          <c:orientation val="minMax"/>
        </c:scaling>
        <c:delete val="0"/>
        <c:axPos val="b"/>
        <c:crossAx val="222"/>
      </c:catAx>
      <c:valAx>
        <c:axId val="222"/>
        <c:scaling>
          <c:orientation val="minMax"/>
        </c:scaling>
        <c:delete val="0"/>
        <c:axPos val="l"/>
        <c:majorGridlines/>
        <c:crossAx val="111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pieChart>
        <c:varyColors val="1"/>
        <c:ser>
          <c:idx val="0"/>
          <c:order val="0"/>
          <c:tx>
            <c:strRef>
              <c:f>S!$B$1</c:f>
              <c:strCache>
                <c:ptCount val="1"/>
                <c:pt idx="0">
                  <c:v>Share</c:v>
                </c:pt>
              </c:strCache>
            </c:strRef>
          </c:tx>
          <c:cat>
            <c:strRef>
              <c:f>S!$A$2:$A$5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S!$B$2:$B$5</c:f>
              <c:numCache>
                <c:formatCode>General</c:formatCode>
                <c:ptCount val="4"/>
                <c:pt idx="0">
                  <c:v>40.0</c:v>
                </c:pt>
                <c:pt idx="1">
                  <c:v>30.0</c:v>
                </c:pt>
                <c:pt idx="2">
                  <c:v>20.0</c:v>
                </c:pt>
                <c:pt idx="3">
                  <c:v>10.0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S!$B$1</c:f>
              <c:strCache>
                <c:ptCount val="1"/>
                <c:pt idx="0">
                  <c:v>Trend</c:v>
                </c:pt>
              </c:strCache>
            </c:strRef>
          </c:tx>
          <c:marker>
            <c:symbol val="circle"/>
            <c:size val="5"/>
          </c:marker>
          <c:cat>
            <c:strRef>
              <c:f>S!$A$2:$A$6</c:f>
              <c:strCache>
                <c:ptCount val="5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</c:strCache>
            </c:strRef>
          </c:cat>
          <c:val>
            <c:numRef>
              <c:f>S!$B$2:$B$6</c:f>
              <c:numCache>
                <c:formatCode>General</c:formatCode>
                <c:ptCount val="5"/>
                <c:pt idx="0">
                  <c:v>1.0</c:v>
                </c:pt>
                <c:pt idx="1">
                  <c:v>3.0</c:v>
                </c:pt>
                <c:pt idx="2">
                  <c:v>2.0</c:v>
                </c:pt>
                <c:pt idx="4">
                  <c:v>5.0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crossAx val="222"/>
      </c:catAx>
      <c:valAx>
        <c:axId val="222"/>
        <c:scaling>
          <c:orientation val="minMax"/>
        </c:scaling>
        <c:delete val="0"/>
        <c:axPos val="l"/>
        <c:majorGridlines/>
        <c:crossAx val="111"/>
      </c:valAx>
    </c:plotArea>
    <c:plotVisOnly val="1"/>
  </c:chart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