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PROBE - who owns the square where a vertical border crosses a horizontal one?</w:t>
      </w:r>
    </w:p>
    <w:p>
      <w:r>
        <w:t xml:space="preserve">Both lines in tables 1 and 2 are 12pt single, so they tie on weight and on style; only their colour differs, and the two tables swap which axis carries the darker one. Read the colour of the four crossing squares in each.</w:t>
      </w:r>
    </w:p>
    <w:p>
      <w:r>
        <w:t xml:space="preserve">  - dark in table 1 and dark in table 2   -&gt; the square follows the MS-OI29500 17.4.66 order, darker wins</w:t>
      </w:r>
    </w:p>
    <w:p>
      <w:r>
        <w:t xml:space="preserve">  - dark in table 1, pale in table 2      -&gt; the vertical always wins</w:t>
      </w:r>
    </w:p>
    <w:p>
      <w:r>
        <w:t xml:space="preserve">  - pale in table 1, dark in table 2      -&gt; the horizontal always wins</w:t>
      </w:r>
    </w:p>
    <w:p>
      <w:r>
        <w:rPr>
          <w:b/>
        </w:rPr>
        <w:t xml:space="preserve">Table 1 - vertical dark, horizontal pale.</w:t>
      </w:r>
    </w:p>
    <w:tbl>
      <w:tblPr>
        <w:tblW w:w="6000" w:type="dxa"/>
        <w:tblBorders>
          <w:insideV w:val="single" w:sz="96" w:space="0" w:color="000000"/>
          <w:insideH w:val="single" w:sz="96" w:space="0" w:color="BFBFBF"/>
        </w:tblBorders>
        <w:tblLayout w:type="fixed"/>
      </w:tblPr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t xml:space="preserve">a</w:t>
            </w:r>
          </w:p>
        </w:tc>
        <w:tc>
          <w:tcPr>
            <w:tcW w:w="2000" w:type="dxa"/>
          </w:tcPr>
          <w:p>
            <w:r>
              <w:t xml:space="preserve">b</w:t>
            </w:r>
          </w:p>
        </w:tc>
        <w:tc>
          <w:tcPr>
            <w:tcW w:w="2000" w:type="dxa"/>
          </w:tcPr>
          <w:p>
            <w:r>
              <w:t xml:space="preserve">c</w:t>
            </w:r>
          </w:p>
        </w:tc>
      </w:tr>
      <w:tr>
        <w:tc>
          <w:tcPr>
            <w:tcW w:w="2000" w:type="dxa"/>
          </w:tcPr>
          <w:p>
            <w:r>
              <w:t xml:space="preserve">a</w:t>
            </w:r>
          </w:p>
        </w:tc>
        <w:tc>
          <w:tcPr>
            <w:tcW w:w="2000" w:type="dxa"/>
          </w:tcPr>
          <w:p>
            <w:r>
              <w:t xml:space="preserve">b</w:t>
            </w:r>
          </w:p>
        </w:tc>
        <w:tc>
          <w:tcPr>
            <w:tcW w:w="2000" w:type="dxa"/>
          </w:tcPr>
          <w:p>
            <w:r>
              <w:t xml:space="preserve">c</w:t>
            </w:r>
          </w:p>
        </w:tc>
      </w:tr>
      <w:tr>
        <w:tc>
          <w:tcPr>
            <w:tcW w:w="2000" w:type="dxa"/>
          </w:tcPr>
          <w:p>
            <w:r>
              <w:t xml:space="preserve">a</w:t>
            </w:r>
          </w:p>
        </w:tc>
        <w:tc>
          <w:tcPr>
            <w:tcW w:w="2000" w:type="dxa"/>
          </w:tcPr>
          <w:p>
            <w:r>
              <w:t xml:space="preserve">b</w:t>
            </w:r>
          </w:p>
        </w:tc>
        <w:tc>
          <w:tcPr>
            <w:tcW w:w="2000" w:type="dxa"/>
          </w:tcPr>
          <w:p>
            <w:r>
              <w:t xml:space="preserve">c</w:t>
            </w:r>
          </w:p>
        </w:tc>
      </w:tr>
    </w:tbl>
    <w:p>
      <w:r>
        <w:t xml:space="preserve"/>
      </w:r>
    </w:p>
    <w:p>
      <w:r>
        <w:rPr>
          <w:b/>
        </w:rPr>
        <w:t xml:space="preserve">Table 2 - vertical pale, horizontal dark.</w:t>
      </w:r>
    </w:p>
    <w:tbl>
      <w:tblPr>
        <w:tblW w:w="6000" w:type="dxa"/>
        <w:tblBorders>
          <w:insideV w:val="single" w:sz="96" w:space="0" w:color="BFBFBF"/>
          <w:insideH w:val="single" w:sz="96" w:space="0" w:color="000000"/>
        </w:tblBorders>
        <w:tblLayout w:type="fixed"/>
      </w:tblPr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t xml:space="preserve">d</w:t>
            </w:r>
          </w:p>
        </w:tc>
        <w:tc>
          <w:tcPr>
            <w:tcW w:w="2000" w:type="dxa"/>
          </w:tcPr>
          <w:p>
            <w:r>
              <w:t xml:space="preserve">e</w:t>
            </w:r>
          </w:p>
        </w:tc>
        <w:tc>
          <w:tcPr>
            <w:tcW w:w="2000" w:type="dxa"/>
          </w:tcPr>
          <w:p>
            <w:r>
              <w:t xml:space="preserve">f</w:t>
            </w:r>
          </w:p>
        </w:tc>
      </w:tr>
      <w:tr>
        <w:tc>
          <w:tcPr>
            <w:tcW w:w="2000" w:type="dxa"/>
          </w:tcPr>
          <w:p>
            <w:r>
              <w:t xml:space="preserve">d</w:t>
            </w:r>
          </w:p>
        </w:tc>
        <w:tc>
          <w:tcPr>
            <w:tcW w:w="2000" w:type="dxa"/>
          </w:tcPr>
          <w:p>
            <w:r>
              <w:t xml:space="preserve">e</w:t>
            </w:r>
          </w:p>
        </w:tc>
        <w:tc>
          <w:tcPr>
            <w:tcW w:w="2000" w:type="dxa"/>
          </w:tcPr>
          <w:p>
            <w:r>
              <w:t xml:space="preserve">f</w:t>
            </w:r>
          </w:p>
        </w:tc>
      </w:tr>
      <w:tr>
        <w:tc>
          <w:tcPr>
            <w:tcW w:w="2000" w:type="dxa"/>
          </w:tcPr>
          <w:p>
            <w:r>
              <w:t xml:space="preserve">d</w:t>
            </w:r>
          </w:p>
        </w:tc>
        <w:tc>
          <w:tcPr>
            <w:tcW w:w="2000" w:type="dxa"/>
          </w:tcPr>
          <w:p>
            <w:r>
              <w:t xml:space="preserve">e</w:t>
            </w:r>
          </w:p>
        </w:tc>
        <w:tc>
          <w:tcPr>
            <w:tcW w:w="2000" w:type="dxa"/>
          </w:tcPr>
          <w:p>
            <w:r>
              <w:t xml:space="preserve">f</w:t>
            </w:r>
          </w:p>
        </w:tc>
      </w:tr>
    </w:tbl>
    <w:p>
      <w:r>
        <w:t xml:space="preserve"/>
      </w:r>
    </w:p>
    <w:p>
      <w:r>
        <w:rPr>
          <w:b/>
        </w:rPr>
        <w:t xml:space="preserve">Table 3 - both axes 12pt double. Not a discrimination: a known limit.</w:t>
      </w:r>
    </w:p>
    <w:p>
      <w:r>
        <w:t xml:space="preserve">A double is two rules with a gap, so the crossing should ideally be a two-by-two lattice of ink with both gaps running through it. This engine draws the square along one axis instead, which gives two rungs. What Word draws here is worth recording.</w:t>
      </w:r>
    </w:p>
    <w:tbl>
      <w:tblPr>
        <w:tblW w:w="6000" w:type="dxa"/>
        <w:tblBorders>
          <w:insideV w:val="double" w:sz="96" w:space="0" w:color="000000"/>
          <w:insideH w:val="double" w:sz="96" w:space="0" w:color="000000"/>
        </w:tblBorders>
        <w:tblLayout w:type="fixed"/>
      </w:tblPr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t xml:space="preserve">g</w:t>
            </w:r>
          </w:p>
        </w:tc>
        <w:tc>
          <w:tcPr>
            <w:tcW w:w="2000" w:type="dxa"/>
          </w:tcPr>
          <w:p>
            <w:r>
              <w:t xml:space="preserve">h</w:t>
            </w:r>
          </w:p>
        </w:tc>
        <w:tc>
          <w:tcPr>
            <w:tcW w:w="2000" w:type="dxa"/>
          </w:tcPr>
          <w:p>
            <w:r>
              <w:t xml:space="preserve">i</w:t>
            </w:r>
          </w:p>
        </w:tc>
      </w:tr>
      <w:tr>
        <w:tc>
          <w:tcPr>
            <w:tcW w:w="2000" w:type="dxa"/>
          </w:tcPr>
          <w:p>
            <w:r>
              <w:t xml:space="preserve">g</w:t>
            </w:r>
          </w:p>
        </w:tc>
        <w:tc>
          <w:tcPr>
            <w:tcW w:w="2000" w:type="dxa"/>
          </w:tcPr>
          <w:p>
            <w:r>
              <w:t xml:space="preserve">h</w:t>
            </w:r>
          </w:p>
        </w:tc>
        <w:tc>
          <w:tcPr>
            <w:tcW w:w="2000" w:type="dxa"/>
          </w:tcPr>
          <w:p>
            <w:r>
              <w:t xml:space="preserve">i</w:t>
            </w:r>
          </w:p>
        </w:tc>
      </w:tr>
      <w:tr>
        <w:tc>
          <w:tcPr>
            <w:tcW w:w="2000" w:type="dxa"/>
          </w:tcPr>
          <w:p>
            <w:r>
              <w:t xml:space="preserve">g</w:t>
            </w:r>
          </w:p>
        </w:tc>
        <w:tc>
          <w:tcPr>
            <w:tcW w:w="2000" w:type="dxa"/>
          </w:tcPr>
          <w:p>
            <w:r>
              <w:t xml:space="preserve">h</w:t>
            </w:r>
          </w:p>
        </w:tc>
        <w:tc>
          <w:tcPr>
            <w:tcW w:w="2000" w:type="dxa"/>
          </w:tcPr>
          <w:p>
            <w:r>
              <w:t xml:space="preserve">i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kern w:val="2"/>
        <w:sz w:val="20"/>
        <w:szCs w:val="2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</Relationships>

</file>