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3A5C"/>
          <w:sz w:val="32"/>
          <w:szCs w:val="32"/>
        </w:rPr>
        <w:t xml:space="preserve">MASTER SERVICE AGREEMENT</w:t>
      </w:r>
    </w:p>
    <w:p>
      <w:pPr>
        <w:spacing w:after="16"/>
        <w:jc w:val="center"/>
      </w:pPr>
      <w:r>
        <w:rPr>
          <w:rFonts w:ascii="Arial" w:cs="Arial" w:eastAsia="Arial" w:hAnsi="Arial"/>
          <w:color w:val="666666"/>
          <w:sz w:val="22"/>
          <w:szCs w:val="22"/>
        </w:rPr>
        <w:t xml:space="preserve">MRO, Industrial Supply &amp; Safety Products</w:t>
      </w:r>
    </w:p>
    <w:p>
      <w:pPr>
        <w:spacing w:after="200"/>
        <w:jc w:val="center"/>
      </w:pPr>
      <w:r>
        <w:rPr>
          <w:rFonts w:ascii="Arial" w:cs="Arial" w:eastAsia="Arial" w:hAnsi="Arial"/>
          <w:color w:val="666666"/>
          <w:sz w:val="22"/>
          <w:szCs w:val="22"/>
        </w:rPr>
        <w:t xml:space="preserve">Agreement No. GRG-MSA-2024-0112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Document ID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GRG-MSA-2024-0112</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18"/>
                <w:szCs w:val="18"/>
              </w:rPr>
              <w:t xml:space="preserve">Version</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sz w:val="18"/>
                <w:szCs w:val="18"/>
              </w:rPr>
              <w:t xml:space="preserve">2.0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Effective Date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July 1, 2024</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18"/>
                <w:szCs w:val="18"/>
              </w:rPr>
              <w:t xml:space="preserve">Expiration Date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sz w:val="18"/>
                <w:szCs w:val="18"/>
              </w:rPr>
              <w:t xml:space="preserve">June 30, 2027</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Buyer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Meridian Technologies Inc. (Company Codes 1000 &amp; 2000)</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18"/>
                <w:szCs w:val="18"/>
              </w:rPr>
              <w:t xml:space="preserve">Supplier</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sz w:val="18"/>
                <w:szCs w:val="18"/>
              </w:rPr>
              <w:t xml:space="preserve">W.W. Grainger, Inc. (V-30210)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Contract Owner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Luis Hernandez, Category Manager — MRO &amp; Safety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18"/>
                <w:szCs w:val="18"/>
              </w:rPr>
              <w:t xml:space="preserve">Approved By</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sz w:val="18"/>
                <w:szCs w:val="18"/>
              </w:rPr>
              <w:t xml:space="preserve">Karen Williams, VP Procurement</w:t>
            </w:r>
          </w:p>
        </w:tc>
      </w:tr>
    </w:tbl>
    <w:p>
      <w:pPr>
        <w:spacing w:after="200"/>
      </w:pPr>
    </w:p>
    <w:p>
      <w:pPr>
        <w:spacing w:after="120"/>
      </w:pPr>
      <w:r>
        <w:rPr>
          <w:rFonts w:ascii="Arial" w:cs="Arial" w:eastAsia="Arial" w:hAnsi="Arial"/>
          <w:sz w:val="20"/>
          <w:szCs w:val="20"/>
        </w:rPr>
        <w:t xml:space="preserve">This Master Service Agreement (“Agreement”) is entered into as of July 1, 2024 (“Effective Date”) by and between:</w:t>
      </w:r>
    </w:p>
    <w:p>
      <w:pPr>
        <w:spacing w:after="80"/>
        <w:ind w:left="480"/>
      </w:pPr>
      <w:r>
        <w:rPr>
          <w:rFonts w:ascii="Arial" w:cs="Arial" w:eastAsia="Arial" w:hAnsi="Arial"/>
          <w:b/>
          <w:bCs/>
          <w:sz w:val="20"/>
          <w:szCs w:val="20"/>
        </w:rPr>
        <w:t xml:space="preserve">Meridian Technologies Inc.</w:t>
      </w:r>
      <w:r>
        <w:rPr>
          <w:rFonts w:ascii="Arial" w:cs="Arial" w:eastAsia="Arial" w:hAnsi="Arial"/>
          <w:sz w:val="20"/>
          <w:szCs w:val="20"/>
        </w:rPr>
        <w:t xml:space="preserve">, a Delaware corporation, 200 Seaport Blvd, 14th Floor, Boston, MA 02210, and its subsidiary Springfield Manufacturing (450 Industrial Parkway, Springfield, MA 01104) (collectively “Buyer”),</w:t>
      </w:r>
    </w:p>
    <w:p>
      <w:pPr>
        <w:spacing w:after="120"/>
      </w:pPr>
      <w:r>
        <w:rPr>
          <w:rFonts w:ascii="Arial" w:cs="Arial" w:eastAsia="Arial" w:hAnsi="Arial"/>
          <w:sz w:val="20"/>
          <w:szCs w:val="20"/>
        </w:rPr>
        <w:t xml:space="preserve">and</w:t>
      </w:r>
    </w:p>
    <w:p>
      <w:pPr>
        <w:spacing w:after="80"/>
        <w:ind w:left="480"/>
      </w:pPr>
      <w:r>
        <w:rPr>
          <w:rFonts w:ascii="Arial" w:cs="Arial" w:eastAsia="Arial" w:hAnsi="Arial"/>
          <w:b/>
          <w:bCs/>
          <w:sz w:val="20"/>
          <w:szCs w:val="20"/>
        </w:rPr>
        <w:t xml:space="preserve">W.W. Grainger, Inc.</w:t>
      </w:r>
      <w:r>
        <w:rPr>
          <w:rFonts w:ascii="Arial" w:cs="Arial" w:eastAsia="Arial" w:hAnsi="Arial"/>
          <w:sz w:val="20"/>
          <w:szCs w:val="20"/>
        </w:rPr>
        <w:t xml:space="preserve">, an Illinois corporation, 100 Grainger Parkway, Lake Forest, IL 60045 (“Supplier” or “Grainger”).</w:t>
      </w:r>
    </w:p>
    <w:p>
      <w:pPr>
        <w:pStyle w:val="Heading1"/>
      </w:pPr>
      <w:r>
        <w:t xml:space="preserve">1. Term and Renewal</w:t>
      </w:r>
    </w:p>
    <w:p>
      <w:pPr>
        <w:spacing w:after="120"/>
      </w:pPr>
      <w:r>
        <w:rPr>
          <w:rFonts w:ascii="Arial" w:cs="Arial" w:eastAsia="Arial" w:hAnsi="Arial"/>
          <w:sz w:val="20"/>
          <w:szCs w:val="20"/>
        </w:rPr>
        <w:t xml:space="preserve">1.1 Initial Term. This Agreement is effective from July 1, 2024 through June 30, 2027 (three years).</w:t>
      </w:r>
    </w:p>
    <w:p>
      <w:pPr>
        <w:spacing w:after="120"/>
      </w:pPr>
      <w:r>
        <w:rPr>
          <w:rFonts w:ascii="Arial" w:cs="Arial" w:eastAsia="Arial" w:hAnsi="Arial"/>
          <w:sz w:val="20"/>
          <w:szCs w:val="20"/>
        </w:rPr>
        <w:t xml:space="preserve">1.2 Renewal. Automatically renews for successive one (1) year periods unless either party provides ninety (90) days written notice of non-renewal.</w:t>
      </w:r>
    </w:p>
    <w:p>
      <w:pPr>
        <w:pStyle w:val="Heading1"/>
      </w:pPr>
      <w:r>
        <w:t xml:space="preserve">2. Scope of Products</w:t>
      </w:r>
    </w:p>
    <w:p>
      <w:pPr>
        <w:spacing w:after="120"/>
      </w:pPr>
      <w:r>
        <w:rPr>
          <w:rFonts w:ascii="Arial" w:cs="Arial" w:eastAsia="Arial" w:hAnsi="Arial"/>
          <w:sz w:val="20"/>
          <w:szCs w:val="20"/>
        </w:rPr>
        <w:t xml:space="preserve">2.1 Covered Categories. This Agreement covers the supply of the following product categories:</w:t>
      </w:r>
    </w:p>
    <w:p>
      <w:pPr>
        <w:spacing w:after="80"/>
        <w:ind w:left="480"/>
      </w:pPr>
      <w:r>
        <w:rPr>
          <w:rFonts w:ascii="Arial" w:cs="Arial" w:eastAsia="Arial" w:hAnsi="Arial"/>
          <w:sz w:val="20"/>
          <w:szCs w:val="20"/>
        </w:rPr>
        <w:t xml:space="preserve">(a) Safety &amp; PPE: flame-resistant clothing, hard hats, safety glasses, gloves, hearing protection, fall protection, respiratory protection, high-visibility apparel</w:t>
      </w:r>
    </w:p>
    <w:p>
      <w:pPr>
        <w:spacing w:after="80"/>
        <w:ind w:left="480"/>
      </w:pPr>
      <w:r>
        <w:rPr>
          <w:rFonts w:ascii="Arial" w:cs="Arial" w:eastAsia="Arial" w:hAnsi="Arial"/>
          <w:sz w:val="20"/>
          <w:szCs w:val="20"/>
        </w:rPr>
        <w:t xml:space="preserve">(b) MRO Supplies: fasteners, adhesives, abrasives, hand tools, power tool accessories, lubricants, electrical supplies</w:t>
      </w:r>
    </w:p>
    <w:p>
      <w:pPr>
        <w:spacing w:after="80"/>
        <w:ind w:left="480"/>
      </w:pPr>
      <w:r>
        <w:rPr>
          <w:rFonts w:ascii="Arial" w:cs="Arial" w:eastAsia="Arial" w:hAnsi="Arial"/>
          <w:sz w:val="20"/>
          <w:szCs w:val="20"/>
        </w:rPr>
        <w:t xml:space="preserve">(c) Janitorial &amp; Cleaning: industrial cleaning chemicals, floor care, waste management, facility maintenance</w:t>
      </w:r>
    </w:p>
    <w:p>
      <w:pPr>
        <w:spacing w:after="80"/>
        <w:ind w:left="480"/>
      </w:pPr>
      <w:r>
        <w:rPr>
          <w:rFonts w:ascii="Arial" w:cs="Arial" w:eastAsia="Arial" w:hAnsi="Arial"/>
          <w:sz w:val="20"/>
          <w:szCs w:val="20"/>
        </w:rPr>
        <w:t xml:space="preserve">(d) Material Handling: carts, dollies, racking accessories, packaging materials</w:t>
      </w:r>
    </w:p>
    <w:p>
      <w:pPr>
        <w:spacing w:after="120"/>
      </w:pPr>
      <w:r>
        <w:rPr>
          <w:rFonts w:ascii="Arial" w:cs="Arial" w:eastAsia="Arial" w:hAnsi="Arial"/>
          <w:sz w:val="20"/>
          <w:szCs w:val="20"/>
        </w:rPr>
        <w:t xml:space="preserve">2.2 Covered Entities. Company Code 1000 (Meridian Technologies Inc., Boston HQ) and Company Code 2000 (Springfield Manufacturing). All US ship-to locations.</w:t>
      </w:r>
    </w:p>
    <w:p>
      <w:pPr>
        <w:spacing w:after="120"/>
      </w:pPr>
      <w:r>
        <w:rPr>
          <w:rFonts w:ascii="Arial" w:cs="Arial" w:eastAsia="Arial" w:hAnsi="Arial"/>
          <w:sz w:val="20"/>
          <w:szCs w:val="20"/>
        </w:rPr>
        <w:t xml:space="preserve">2.3 Ordering. Orders may be placed via Grainger.com using Buyer’s enterprise account, Grainger KeepStock inventory management, punch-out catalog integrated with Buyer’s ERP system, or Purchase Orders referencing this Agreement number.</w:t>
      </w:r>
    </w:p>
    <w:p>
      <w:pPr>
        <w:pStyle w:val="Heading1"/>
      </w:pPr>
      <w:r>
        <w:t xml:space="preserve">3. Pricing</w:t>
      </w:r>
    </w:p>
    <w:p>
      <w:pPr>
        <w:spacing w:after="120"/>
      </w:pPr>
      <w:r>
        <w:rPr>
          <w:rFonts w:ascii="Arial" w:cs="Arial" w:eastAsia="Arial" w:hAnsi="Arial"/>
          <w:sz w:val="20"/>
          <w:szCs w:val="20"/>
        </w:rPr>
        <w:t xml:space="preserve">3.1 Pricing Basis. Products are priced at contracted discounts off Grainger list price or manufacturer suggested retail price, depending on product category.</w:t>
      </w:r>
    </w:p>
    <w:p>
      <w:pPr>
        <w:spacing w:after="120"/>
      </w:pPr>
      <w:r>
        <w:rPr>
          <w:rFonts w:ascii="Arial" w:cs="Arial" w:eastAsia="Arial" w:hAnsi="Arial"/>
          <w:sz w:val="20"/>
          <w:szCs w:val="20"/>
        </w:rPr>
        <w:t xml:space="preserve">3.2 Discount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Product Category</w:t>
            </w:r>
          </w:p>
        </w:tc>
        <w:tc>
          <w:tcPr>
            <w:tcW w:type="dxa" w:w="30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Min. Discount off List</w:t>
            </w:r>
          </w:p>
        </w:tc>
        <w:tc>
          <w:tcPr>
            <w:tcW w:type="dxa" w:w="30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Typical Range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Safety &amp; PPE (FR clothing)</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 off mfr list</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20–30%</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sz w:val="18"/>
                <w:szCs w:val="18"/>
              </w:rPr>
              <w:t xml:space="preserve">Safety &amp; PPE (hard goods)</w:t>
            </w:r>
          </w:p>
        </w:tc>
        <w:tc>
          <w:tcPr>
            <w:tcW w:type="dxa" w:w="3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sz w:val="18"/>
                <w:szCs w:val="18"/>
              </w:rPr>
              <w:t xml:space="preserve">15% off Grainger list</w:t>
            </w:r>
          </w:p>
        </w:tc>
        <w:tc>
          <w:tcPr>
            <w:tcW w:type="dxa" w:w="3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sz w:val="18"/>
                <w:szCs w:val="18"/>
              </w:rPr>
              <w:t xml:space="preserve">15–25%</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MRO Supplies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18% off Grainger list</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18–28%</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sz w:val="18"/>
                <w:szCs w:val="18"/>
              </w:rPr>
              <w:t xml:space="preserve">Janitorial &amp; Cleaning</w:t>
            </w:r>
          </w:p>
        </w:tc>
        <w:tc>
          <w:tcPr>
            <w:tcW w:type="dxa" w:w="3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sz w:val="18"/>
                <w:szCs w:val="18"/>
              </w:rPr>
              <w:t xml:space="preserve">12% off Grainger list</w:t>
            </w:r>
          </w:p>
        </w:tc>
        <w:tc>
          <w:tcPr>
            <w:tcW w:type="dxa" w:w="3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sz w:val="18"/>
                <w:szCs w:val="18"/>
              </w:rPr>
              <w:t xml:space="preserve">12–20%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Material Handling</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 off Grainger list</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15–22%</w:t>
            </w:r>
          </w:p>
        </w:tc>
      </w:tr>
    </w:tbl>
    <w:p>
      <w:pPr>
        <w:spacing w:after="120"/>
      </w:pPr>
    </w:p>
    <w:p>
      <w:pPr>
        <w:spacing w:after="120"/>
      </w:pPr>
      <w:r>
        <w:rPr>
          <w:rFonts w:ascii="Arial" w:cs="Arial" w:eastAsia="Arial" w:hAnsi="Arial"/>
          <w:sz w:val="20"/>
          <w:szCs w:val="20"/>
        </w:rPr>
        <w:t xml:space="preserve">3.3 Price Protection. Quoted prices remain firm for sixty (60) days from date of quotation. Grainger shall provide thirty (30) days advance notice of price changes.</w:t>
      </w:r>
    </w:p>
    <w:p>
      <w:pPr>
        <w:spacing w:after="120"/>
      </w:pPr>
      <w:r>
        <w:rPr>
          <w:rFonts w:ascii="Arial" w:cs="Arial" w:eastAsia="Arial" w:hAnsi="Arial"/>
          <w:sz w:val="20"/>
          <w:szCs w:val="20"/>
        </w:rPr>
        <w:t xml:space="preserve">3.4 Maximum Contract Value. Aggregate PO value shall not exceed $1,500,000 per contract year without written amendment.</w:t>
      </w:r>
    </w:p>
    <w:p>
      <w:pPr>
        <w:pStyle w:val="Heading1"/>
      </w:pPr>
      <w:r>
        <w:t xml:space="preserve">4. Payment Terms</w:t>
      </w:r>
    </w:p>
    <w:p>
      <w:pPr>
        <w:spacing w:after="120"/>
      </w:pPr>
      <w:r>
        <w:rPr>
          <w:rFonts w:ascii="Arial" w:cs="Arial" w:eastAsia="Arial" w:hAnsi="Arial"/>
          <w:sz w:val="20"/>
          <w:szCs w:val="20"/>
        </w:rPr>
        <w:t xml:space="preserve">4.1 Standard Terms. Net Thirty (30) days from date of invoice.</w:t>
      </w:r>
    </w:p>
    <w:p>
      <w:pPr>
        <w:spacing w:after="120"/>
      </w:pPr>
      <w:r>
        <w:rPr>
          <w:rFonts w:ascii="Arial" w:cs="Arial" w:eastAsia="Arial" w:hAnsi="Arial"/>
          <w:sz w:val="20"/>
          <w:szCs w:val="20"/>
        </w:rPr>
        <w:t xml:space="preserve">4.2 Invoicing. Invoices issued upon shipment. Each invoice must reference the PO number and Agreement number GRG-MSA-2024-0112.</w:t>
      </w:r>
    </w:p>
    <w:p>
      <w:pPr>
        <w:spacing w:after="120"/>
      </w:pPr>
      <w:r>
        <w:rPr>
          <w:rFonts w:ascii="Arial" w:cs="Arial" w:eastAsia="Arial" w:hAnsi="Arial"/>
          <w:sz w:val="20"/>
          <w:szCs w:val="20"/>
        </w:rPr>
        <w:t xml:space="preserve">4.3 Payment Method. ACH electronic transfer or corporate procurement card (PCard) for transactions under $2,500.</w:t>
      </w:r>
    </w:p>
    <w:p>
      <w:pPr>
        <w:pStyle w:val="Heading1"/>
      </w:pPr>
      <w:r>
        <w:t xml:space="preserve">5. Delivery</w:t>
      </w:r>
    </w:p>
    <w:p>
      <w:pPr>
        <w:spacing w:after="120"/>
      </w:pPr>
      <w:r>
        <w:rPr>
          <w:rFonts w:ascii="Arial" w:cs="Arial" w:eastAsia="Arial" w:hAnsi="Arial"/>
          <w:sz w:val="20"/>
          <w:szCs w:val="20"/>
        </w:rPr>
        <w:t xml:space="preserve">5.1 Standard Delivery. Free standard ground shipping on all orders. No minimum order required for contracted accounts.</w:t>
      </w:r>
    </w:p>
    <w:p>
      <w:pPr>
        <w:spacing w:after="120"/>
      </w:pPr>
      <w:r>
        <w:rPr>
          <w:rFonts w:ascii="Arial" w:cs="Arial" w:eastAsia="Arial" w:hAnsi="Arial"/>
          <w:sz w:val="20"/>
          <w:szCs w:val="20"/>
        </w:rPr>
        <w:t xml:space="preserve">5.2 Lead Times. In-stock items: 3–5 business days. Non-stock or special-order items: 2–4 weeks. Supplier shall notify Buyer within 1 business day if items are out of stock or backordered.</w:t>
      </w:r>
    </w:p>
    <w:p>
      <w:pPr>
        <w:spacing w:after="120"/>
      </w:pPr>
      <w:r>
        <w:rPr>
          <w:rFonts w:ascii="Arial" w:cs="Arial" w:eastAsia="Arial" w:hAnsi="Arial"/>
          <w:sz w:val="20"/>
          <w:szCs w:val="20"/>
        </w:rPr>
        <w:t xml:space="preserve">5.3 Shipping Terms. FOB Destination. Risk of loss transfers upon delivery.</w:t>
      </w:r>
    </w:p>
    <w:p>
      <w:pPr>
        <w:spacing w:after="120"/>
      </w:pPr>
      <w:r>
        <w:rPr>
          <w:rFonts w:ascii="Arial" w:cs="Arial" w:eastAsia="Arial" w:hAnsi="Arial"/>
          <w:sz w:val="20"/>
          <w:szCs w:val="20"/>
        </w:rPr>
        <w:t xml:space="preserve">5.4 KeepStock. Grainger KeepStock inventory management solutions are available at Buyer’s facilities. KeepStock replenishment orders are generated automatically based on par levels and do not require individual PRs. KeepStock is governed by a separate KeepStock Service Addendum.</w:t>
      </w:r>
    </w:p>
    <w:p>
      <w:pPr>
        <w:pStyle w:val="Heading1"/>
      </w:pPr>
      <w:r>
        <w:t xml:space="preserve">6. Returns</w:t>
      </w:r>
    </w:p>
    <w:p>
      <w:pPr>
        <w:spacing w:after="120"/>
      </w:pPr>
      <w:r>
        <w:rPr>
          <w:rFonts w:ascii="Arial" w:cs="Arial" w:eastAsia="Arial" w:hAnsi="Arial"/>
          <w:sz w:val="20"/>
          <w:szCs w:val="20"/>
        </w:rPr>
        <w:t xml:space="preserve">6.1 Standard items may be returned within 30 days of delivery for full credit. No restocking fee for Grainger contract customers.</w:t>
      </w:r>
    </w:p>
    <w:p>
      <w:pPr>
        <w:spacing w:after="120"/>
      </w:pPr>
      <w:r>
        <w:rPr>
          <w:rFonts w:ascii="Arial" w:cs="Arial" w:eastAsia="Arial" w:hAnsi="Arial"/>
          <w:sz w:val="20"/>
          <w:szCs w:val="20"/>
        </w:rPr>
        <w:t xml:space="preserve">6.2 FR clothing returns: accepted within 30 days if unworn, unwashed, with original tags. Worn/washed garments are non-returnable. Sizing exchanges processed at no charge.</w:t>
      </w:r>
    </w:p>
    <w:p>
      <w:pPr>
        <w:pStyle w:val="Heading1"/>
      </w:pPr>
      <w:r>
        <w:t xml:space="preserve">7. Quality and Compliance</w:t>
      </w:r>
    </w:p>
    <w:p>
      <w:pPr>
        <w:spacing w:after="120"/>
      </w:pPr>
      <w:r>
        <w:rPr>
          <w:rFonts w:ascii="Arial" w:cs="Arial" w:eastAsia="Arial" w:hAnsi="Arial"/>
          <w:sz w:val="20"/>
          <w:szCs w:val="20"/>
        </w:rPr>
        <w:t xml:space="preserve">7.1 FR Clothing. All flame-resistant garments must carry current NFPA 2112 (Flash Fire) certification. Garments for electrical work must additionally comply with NFPA 70E standards and carry appropriate arc flash CAT ratings. Supplier shall provide certificates of compliance upon request.</w:t>
      </w:r>
    </w:p>
    <w:p>
      <w:pPr>
        <w:spacing w:after="120"/>
      </w:pPr>
      <w:r>
        <w:rPr>
          <w:rFonts w:ascii="Arial" w:cs="Arial" w:eastAsia="Arial" w:hAnsi="Arial"/>
          <w:sz w:val="20"/>
          <w:szCs w:val="20"/>
        </w:rPr>
        <w:t xml:space="preserve">7.2 Safety Products. All safety products must meet applicable ANSI, OSHA, and industry standards. Supplier shall maintain documentation of product certifications and make them available to Buyer’s EHS team.</w:t>
      </w:r>
    </w:p>
    <w:p>
      <w:pPr>
        <w:pStyle w:val="Heading1"/>
      </w:pPr>
      <w:r>
        <w:t xml:space="preserve">8. Insurance</w:t>
      </w:r>
    </w:p>
    <w:p>
      <w:pPr>
        <w:spacing w:after="120"/>
      </w:pPr>
      <w:r>
        <w:rPr>
          <w:rFonts w:ascii="Arial" w:cs="Arial" w:eastAsia="Arial" w:hAnsi="Arial"/>
          <w:sz w:val="20"/>
          <w:szCs w:val="20"/>
        </w:rPr>
        <w:t xml:space="preserve">Supplier shall maintain: (a) Commercial General Liability of $5,000,000 per occurrence; (b) Product Liability of $5,000,000 per occurrence; (c) Workers’ Compensation per statutory requirements. Certificates provided annually.</w:t>
      </w:r>
    </w:p>
    <w:p>
      <w:pPr>
        <w:pStyle w:val="Heading1"/>
      </w:pPr>
      <w:r>
        <w:t xml:space="preserve">9. Confidentiality</w:t>
      </w:r>
    </w:p>
    <w:p>
      <w:pPr>
        <w:spacing w:after="120"/>
      </w:pPr>
      <w:r>
        <w:rPr>
          <w:rFonts w:ascii="Arial" w:cs="Arial" w:eastAsia="Arial" w:hAnsi="Arial"/>
          <w:sz w:val="20"/>
          <w:szCs w:val="20"/>
        </w:rPr>
        <w:t xml:space="preserve">All pricing, terms, and commercial information is confidential and shall not be disclosed to third parties without written consent.</w:t>
      </w:r>
    </w:p>
    <w:p>
      <w:pPr>
        <w:pStyle w:val="Heading1"/>
      </w:pPr>
      <w:r>
        <w:t xml:space="preserve">10. Governing Law</w:t>
      </w:r>
    </w:p>
    <w:p>
      <w:pPr>
        <w:spacing w:after="120"/>
      </w:pPr>
      <w:r>
        <w:rPr>
          <w:rFonts w:ascii="Arial" w:cs="Arial" w:eastAsia="Arial" w:hAnsi="Arial"/>
          <w:sz w:val="20"/>
          <w:szCs w:val="20"/>
        </w:rPr>
        <w:t xml:space="preserve">This Agreement is governed by the laws of the Commonwealth of Massachusetts.</w:t>
      </w:r>
    </w:p>
    <w:p>
      <w:pPr>
        <w:spacing w:before="300"/>
      </w:pPr>
    </w:p>
    <w:p>
      <w:pPr>
        <w:pBdr>
          <w:bottom w:val="single" w:color="1B3A5C" w:sz="4" w:space="4"/>
        </w:pBdr>
      </w:pPr>
      <w:r>
        <w:rPr>
          <w:rFonts w:ascii="Arial" w:cs="Arial" w:eastAsia="Arial" w:hAnsi="Arial"/>
          <w:b/>
          <w:bCs/>
          <w:color w:val="1B3A5C"/>
          <w:sz w:val="22"/>
          <w:szCs w:val="22"/>
        </w:rPr>
        <w:t xml:space="preserve">SIGNATURES</w:t>
      </w:r>
    </w:p>
    <w:p>
      <w:pPr>
        <w:spacing w:after="120"/>
      </w:pPr>
    </w:p>
    <w:p>
      <w:pPr>
        <w:spacing w:after="120"/>
      </w:pPr>
      <w:r>
        <w:rPr>
          <w:rFonts w:ascii="Arial" w:cs="Arial" w:eastAsia="Arial" w:hAnsi="Arial"/>
          <w:sz w:val="20"/>
          <w:szCs w:val="20"/>
        </w:rPr>
        <w:t xml:space="preserve">IN WITNESS WHEREOF, the parties have executed this Agreement as of the Effective Date.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after="60"/>
            </w:pPr>
            <w:r>
              <w:rPr>
                <w:rFonts w:ascii="Arial" w:cs="Arial" w:eastAsia="Arial" w:hAnsi="Arial"/>
                <w:b/>
                <w:bCs/>
                <w:sz w:val="20"/>
                <w:szCs w:val="20"/>
              </w:rPr>
              <w:t xml:space="preserve">MERIDIAN TECHNOLOGIES INC.</w:t>
            </w:r>
          </w:p>
          <w:p>
            <w:pPr>
              <w:spacing w:after="200"/>
            </w:pPr>
          </w:p>
          <w:p>
            <w:pPr>
              <w:spacing w:after="60"/>
            </w:pPr>
            <w:r>
              <w:rPr>
                <w:rFonts w:ascii="Arial" w:cs="Arial" w:eastAsia="Arial" w:hAnsi="Arial"/>
                <w:i/>
                <w:iCs/>
                <w:sz w:val="20"/>
                <w:szCs w:val="20"/>
              </w:rPr>
              <w:t xml:space="preserve">/s/ Karen Williams</w:t>
            </w:r>
          </w:p>
          <w:p>
            <w:pPr>
              <w:pBdr>
                <w:bottom w:val="single" w:color="333333" w:sz="2" w:space="2"/>
              </w:pBdr>
            </w:pPr>
          </w:p>
          <w:p>
            <w:pPr>
              <w:spacing w:after="40"/>
            </w:pPr>
            <w:r>
              <w:rPr>
                <w:rFonts w:ascii="Arial" w:cs="Arial" w:eastAsia="Arial" w:hAnsi="Arial"/>
                <w:sz w:val="18"/>
                <w:szCs w:val="18"/>
              </w:rPr>
              <w:t xml:space="preserve">Karen Williams, VP Procurement</w:t>
            </w:r>
          </w:p>
          <w:p>
            <w:r>
              <w:rPr>
                <w:rFonts w:ascii="Arial" w:cs="Arial" w:eastAsia="Arial" w:hAnsi="Arial"/>
                <w:sz w:val="18"/>
                <w:szCs w:val="18"/>
              </w:rPr>
              <w:t xml:space="preserve">Date: June 20, 2024</w:t>
            </w:r>
          </w:p>
        </w:tc>
        <w:tc>
          <w:tcPr>
            <w:tcW w:type="dxa" w:w="4680"/>
            <w:tcBorders>
              <w:top w:val="none"/>
              <w:left w:val="none"/>
              <w:bottom w:val="none"/>
              <w:right w:val="none"/>
            </w:tcBorders>
          </w:tcPr>
          <w:p>
            <w:pPr>
              <w:spacing w:after="60"/>
            </w:pPr>
            <w:r>
              <w:rPr>
                <w:rFonts w:ascii="Arial" w:cs="Arial" w:eastAsia="Arial" w:hAnsi="Arial"/>
                <w:b/>
                <w:bCs/>
                <w:sz w:val="20"/>
                <w:szCs w:val="20"/>
              </w:rPr>
              <w:t xml:space="preserve">W.W. GRAINGER, INC.</w:t>
            </w:r>
          </w:p>
          <w:p>
            <w:pPr>
              <w:spacing w:after="200"/>
            </w:pPr>
          </w:p>
          <w:p>
            <w:pPr>
              <w:spacing w:after="60"/>
            </w:pPr>
            <w:r>
              <w:rPr>
                <w:rFonts w:ascii="Arial" w:cs="Arial" w:eastAsia="Arial" w:hAnsi="Arial"/>
                <w:i/>
                <w:iCs/>
                <w:sz w:val="20"/>
                <w:szCs w:val="20"/>
              </w:rPr>
              <w:t xml:space="preserve">/s/ Patricia Wheeler</w:t>
            </w:r>
          </w:p>
          <w:p>
            <w:pPr>
              <w:pBdr>
                <w:bottom w:val="single" w:color="333333" w:sz="2" w:space="2"/>
              </w:pBdr>
            </w:pPr>
          </w:p>
          <w:p>
            <w:pPr>
              <w:spacing w:after="40"/>
            </w:pPr>
            <w:r>
              <w:rPr>
                <w:rFonts w:ascii="Arial" w:cs="Arial" w:eastAsia="Arial" w:hAnsi="Arial"/>
                <w:sz w:val="18"/>
                <w:szCs w:val="18"/>
              </w:rPr>
              <w:t xml:space="preserve">Patricia Wheeler, VP Enterprise Accounts</w:t>
            </w:r>
          </w:p>
          <w:p>
            <w:r>
              <w:rPr>
                <w:rFonts w:ascii="Arial" w:cs="Arial" w:eastAsia="Arial" w:hAnsi="Arial"/>
                <w:sz w:val="18"/>
                <w:szCs w:val="18"/>
              </w:rPr>
              <w:t xml:space="preserve">Date: June 18, 2024</w:t>
            </w:r>
          </w:p>
        </w:tc>
      </w:tr>
    </w:tbl>
    <w:p>
      <w:pPr>
        <w:spacing w:before="300"/>
      </w:pPr>
    </w:p>
    <w:p>
      <w:pPr>
        <w:pBdr>
          <w:top w:val="single" w:color="CCCCCC" w:sz="2" w:space="4"/>
        </w:pBdr>
        <w:jc w:val="center"/>
      </w:pPr>
      <w:r>
        <w:rPr>
          <w:rFonts w:ascii="Arial" w:cs="Arial" w:eastAsia="Arial" w:hAnsi="Arial"/>
          <w:color w:val="999999"/>
          <w:sz w:val="14"/>
          <w:szCs w:val="14"/>
        </w:rPr>
        <w:t xml:space="preserve">GRG-MSA-2024-0112  |  Meridian Technologies Inc. &amp; W.W. Grainger, Inc.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Meridian Technologies &amp; W.W. Grainger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jc w:val="right"/>
    </w:pPr>
    <w:r>
      <w:rPr>
        <w:rFonts w:ascii="Arial" w:cs="Arial" w:eastAsia="Arial" w:hAnsi="Arial"/>
        <w:color w:val="999999"/>
        <w:sz w:val="16"/>
        <w:szCs w:val="16"/>
      </w:rPr>
      <w:t xml:space="preserve">GRG-MSA-2024-0112  |  Master Service Agreement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2026-02-13T16:34:30.641Z</dcterms:created>
  <dcterms:modified xsi:type="dcterms:W3CDTF">2026-02-13T16:34:30.642Z</dcterms:modified>
</cp:coreProperties>
</file>

<file path=docProps/custom.xml><?xml version="1.0" encoding="utf-8"?>
<Properties xmlns="http://schemas.openxmlformats.org/officeDocument/2006/custom-properties" xmlns:vt="http://schemas.openxmlformats.org/officeDocument/2006/docPropsVTypes"/>
</file>