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MASTER SERVICE AGREEMENT</w:t>
      </w:r>
    </w:p>
    <w:p>
      <w:pPr>
        <w:spacing w:after="16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Office Furniture Supply &amp; Services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Agreement No. CFS-MSA-2024-0078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CFS-MSA-2024-0078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 (Amendment 1 incorporated)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March 1, 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Expiration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 28, 2027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Meridian Technologies Inc. (Company Code 1000)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Corporate Furniture Solutions Inc. (V-20455)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Diana Reyes, Sr. Category Manager — Indirect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Karen Williams, VP Procurement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Master Service Agreement (“Agreement”) is entered into as of March 1, 2024 (“Effective Date”) by and between: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Meridian Technologies Inc., a Delaware corporation, 200 Seaport Blvd, 14th Floor, Boston, MA 02210 (“Buyer”),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and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Corporate Furniture Solutions Inc., a Massachusetts corporation, 380 Congress Street, Suite 200, Boston, MA 02210 (“Supplier” or “CFS”).</w:t>
      </w:r>
    </w:p>
    <w:p>
      <w:pPr>
        <w:pStyle w:val="Heading1"/>
      </w:pPr>
      <w:r>
        <w:t xml:space="preserve">1. Term and Renewal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Initial Term. </w:t>
      </w:r>
      <w:r>
        <w:rPr>
          <w:rFonts w:ascii="Arial" w:cs="Arial" w:eastAsia="Arial" w:hAnsi="Arial"/>
          <w:sz w:val="20"/>
          <w:szCs w:val="20"/>
        </w:rPr>
        <w:t xml:space="preserve">This Agreement is effective from March 1, 2024 through February 28, 2027 (three years).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Renewal. </w:t>
      </w:r>
      <w:r>
        <w:rPr>
          <w:rFonts w:ascii="Arial" w:cs="Arial" w:eastAsia="Arial" w:hAnsi="Arial"/>
          <w:sz w:val="20"/>
          <w:szCs w:val="20"/>
        </w:rPr>
        <w:t xml:space="preserve">Automatically renews for successive one (1) year periods unless either party provides ninety (90) days written notice of non-renewal.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Termination for Convenience. </w:t>
      </w:r>
      <w:r>
        <w:rPr>
          <w:rFonts w:ascii="Arial" w:cs="Arial" w:eastAsia="Arial" w:hAnsi="Arial"/>
          <w:sz w:val="20"/>
          <w:szCs w:val="20"/>
        </w:rPr>
        <w:t xml:space="preserve">Either party may terminate upon sixty (60) days written notice. Outstanding Purchase Orders at termination shall be fulfilled.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 Termination for Cause. </w:t>
      </w:r>
      <w:r>
        <w:rPr>
          <w:rFonts w:ascii="Arial" w:cs="Arial" w:eastAsia="Arial" w:hAnsi="Arial"/>
          <w:sz w:val="20"/>
          <w:szCs w:val="20"/>
        </w:rPr>
        <w:t xml:space="preserve">Either party may terminate immediately upon material breach that remains uncured for thirty (30) days after written notice.</w:t>
      </w:r>
    </w:p>
    <w:p>
      <w:pPr>
        <w:pStyle w:val="Heading1"/>
      </w:pPr>
      <w:r>
        <w:t xml:space="preserve">2. Scope of Products and Services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Covered Products. </w:t>
      </w:r>
      <w:r>
        <w:rPr>
          <w:rFonts w:ascii="Arial" w:cs="Arial" w:eastAsia="Arial" w:hAnsi="Arial"/>
          <w:sz w:val="20"/>
          <w:szCs w:val="20"/>
        </w:rPr>
        <w:t xml:space="preserve">This Agreement covers the supply of office furniture from the following manufacturers for which Supplier is an authorized dealer: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(a) HON (HNI Corporation): desks, tables, filing cabinets, storage, seating, systems furniture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(b) Steelcase: task seating, collaborative furniture, height-adjustable desks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(c) Knoll: conference room furniture, lounge seating, executive office furniture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Services Included. </w:t>
      </w:r>
      <w:r>
        <w:rPr>
          <w:rFonts w:ascii="Arial" w:cs="Arial" w:eastAsia="Arial" w:hAnsi="Arial"/>
          <w:sz w:val="20"/>
          <w:szCs w:val="20"/>
        </w:rPr>
        <w:t xml:space="preserve">The following services are included at no additional charge for orders exceeding $5,000: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(a) Space planning consultation and product recommendation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(b) Inside delivery to floor (freight elevator access required)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(c) Assembly and installation of all furniture items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(d) Removal of packaging materials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Optional Services. </w:t>
      </w:r>
      <w:r>
        <w:rPr>
          <w:rFonts w:ascii="Arial" w:cs="Arial" w:eastAsia="Arial" w:hAnsi="Arial"/>
          <w:sz w:val="20"/>
          <w:szCs w:val="20"/>
        </w:rPr>
        <w:t xml:space="preserve">The following services are available at additional cost: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(a) Old furniture removal and disposal: $35 per piece (must schedule 5 business days in advance)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(b) Reconfiguration of existing furniture: quoted per project</w:t>
      </w:r>
    </w:p>
    <w:p>
      <w:pPr>
        <w:spacing w:after="80"/>
        <w:ind w:left="480"/>
      </w:pPr>
      <w:r>
        <w:rPr>
          <w:rFonts w:ascii="Arial" w:cs="Arial" w:eastAsia="Arial" w:hAnsi="Arial"/>
          <w:sz w:val="20"/>
          <w:szCs w:val="20"/>
        </w:rPr>
        <w:t xml:space="preserve">(c) After-hours delivery/installation: 25% surcharge on delivery fees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 Covered Entity. </w:t>
      </w:r>
      <w:r>
        <w:rPr>
          <w:rFonts w:ascii="Arial" w:cs="Arial" w:eastAsia="Arial" w:hAnsi="Arial"/>
          <w:sz w:val="20"/>
          <w:szCs w:val="20"/>
        </w:rPr>
        <w:t xml:space="preserve">Company Code 1000 (Meridian Technologies Inc., US operations). All US ship-to locations within the continental United States.</w:t>
      </w:r>
    </w:p>
    <w:p>
      <w:pPr>
        <w:pStyle w:val="Heading1"/>
      </w:pPr>
      <w:r>
        <w:t xml:space="preserve">3. Pricing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Pricing Basis. </w:t>
      </w:r>
      <w:r>
        <w:rPr>
          <w:rFonts w:ascii="Arial" w:cs="Arial" w:eastAsia="Arial" w:hAnsi="Arial"/>
          <w:sz w:val="20"/>
          <w:szCs w:val="20"/>
        </w:rPr>
        <w:t xml:space="preserve">All products shall be priced at dealer net cost, calculated as a percentage discount off the manufacturer’s current published list price.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Minimum Discount Tiers. </w:t>
      </w:r>
      <w:r>
        <w:rPr>
          <w:rFonts w:ascii="Arial" w:cs="Arial" w:eastAsia="Arial" w:hAnsi="Arial"/>
          <w:sz w:val="20"/>
          <w:szCs w:val="20"/>
        </w:rPr>
        <w:t xml:space="preserve">The following minimum discounts apply by manufacturer: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HON (all product lines)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 off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40–50% off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Steelcase (seating &amp; desks)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38% off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38–45% off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Knoll (all product lines)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 off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35–42% off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days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Price Protection. </w:t>
      </w:r>
      <w:r>
        <w:rPr>
          <w:rFonts w:ascii="Arial" w:cs="Arial" w:eastAsia="Arial" w:hAnsi="Arial"/>
          <w:sz w:val="20"/>
          <w:szCs w:val="20"/>
        </w:rPr>
        <w:t xml:space="preserve">Quoted prices remain firm for the period specified above from date of quotation. Supplier shall provide thirty (30) days advance written notice of manufacturer list price increases.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Annual Review. </w:t>
      </w:r>
      <w:r>
        <w:rPr>
          <w:rFonts w:ascii="Arial" w:cs="Arial" w:eastAsia="Arial" w:hAnsi="Arial"/>
          <w:sz w:val="20"/>
          <w:szCs w:val="20"/>
        </w:rPr>
        <w:t xml:space="preserve">Pricing shall be reviewed annually. Supplier shall provide updated price schedules within thirty (30) days of any manufacturer list price change.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 Maximum Contract Value. </w:t>
      </w:r>
      <w:r>
        <w:rPr>
          <w:rFonts w:ascii="Arial" w:cs="Arial" w:eastAsia="Arial" w:hAnsi="Arial"/>
          <w:sz w:val="20"/>
          <w:szCs w:val="20"/>
        </w:rPr>
        <w:t xml:space="preserve">The aggregate value of all Purchase Orders issued under this Agreement shall not exceed Two Hundred Fifty Thousand US Dollars ($250,000.00) per contract year without written amendment.</w:t>
      </w:r>
    </w:p>
    <w:p>
      <w:pPr>
        <w:pStyle w:val="Heading1"/>
      </w:pPr>
      <w:r>
        <w:t xml:space="preserve">4. Payment Terms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Standard Terms. </w:t>
      </w:r>
      <w:r>
        <w:rPr>
          <w:rFonts w:ascii="Arial" w:cs="Arial" w:eastAsia="Arial" w:hAnsi="Arial"/>
          <w:sz w:val="20"/>
          <w:szCs w:val="20"/>
        </w:rPr>
        <w:t xml:space="preserve">Net Thirty (30) days from date of a valid, undisputed invoice.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Invoicing. </w:t>
      </w:r>
      <w:r>
        <w:rPr>
          <w:rFonts w:ascii="Arial" w:cs="Arial" w:eastAsia="Arial" w:hAnsi="Arial"/>
          <w:sz w:val="20"/>
          <w:szCs w:val="20"/>
        </w:rPr>
        <w:t xml:space="preserve">Supplier shall issue invoices upon confirmed delivery and signed receipt at the ship-to address. Each invoice must reference the applicable Purchase Order number and this Agreement number (CFS-MSA-2024-0078).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Payment Method. </w:t>
      </w:r>
      <w:r>
        <w:rPr>
          <w:rFonts w:ascii="Arial" w:cs="Arial" w:eastAsia="Arial" w:hAnsi="Arial"/>
          <w:sz w:val="20"/>
          <w:szCs w:val="20"/>
        </w:rPr>
        <w:t xml:space="preserve">Payments shall be made via ACH electronic transfer to the bank account designated by Supplier.</w:t>
      </w:r>
    </w:p>
    <w:p>
      <w:pPr>
        <w:pStyle w:val="Heading1"/>
      </w:pPr>
      <w:r>
        <w:t xml:space="preserve">5. Ordering and Delivery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Ordering. </w:t>
      </w:r>
      <w:r>
        <w:rPr>
          <w:rFonts w:ascii="Arial" w:cs="Arial" w:eastAsia="Arial" w:hAnsi="Arial"/>
          <w:sz w:val="20"/>
          <w:szCs w:val="20"/>
        </w:rPr>
        <w:t xml:space="preserve">All purchases shall be made by issuing Purchase Orders referencing this Agreement number. No purchase is binding without a valid PO.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Quotations. </w:t>
      </w:r>
      <w:r>
        <w:rPr>
          <w:rFonts w:ascii="Arial" w:cs="Arial" w:eastAsia="Arial" w:hAnsi="Arial"/>
          <w:sz w:val="20"/>
          <w:szCs w:val="20"/>
        </w:rPr>
        <w:t xml:space="preserve">Supplier shall provide formal quotations within two (2) business days of request. Quotations shall include: manufacturer, model, finish, quantity, unit pricing, delivery timeline, and any applicable services.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Delivery Timeline. </w:t>
      </w:r>
      <w:r>
        <w:rPr>
          <w:rFonts w:ascii="Arial" w:cs="Arial" w:eastAsia="Arial" w:hAnsi="Arial"/>
          <w:sz w:val="20"/>
          <w:szCs w:val="20"/>
        </w:rPr>
        <w:t xml:space="preserve">In-stock standard items: 10–15 business days from PO acceptance. Special order or custom finishes: 4–6 weeks. Supplier shall notify Buyer within 2 business days if requested delivery date cannot be met.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Shipping Terms. </w:t>
      </w:r>
      <w:r>
        <w:rPr>
          <w:rFonts w:ascii="Arial" w:cs="Arial" w:eastAsia="Arial" w:hAnsi="Arial"/>
          <w:sz w:val="20"/>
          <w:szCs w:val="20"/>
        </w:rPr>
        <w:t xml:space="preserve">FOB Destination. Risk of loss transfers upon delivery and signed receipt. Damage claims must be noted at delivery on the carrier’s bill of lading.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5.5 Delivery Coordination. </w:t>
      </w:r>
      <w:r>
        <w:rPr>
          <w:rFonts w:ascii="Arial" w:cs="Arial" w:eastAsia="Arial" w:hAnsi="Arial"/>
          <w:sz w:val="20"/>
          <w:szCs w:val="20"/>
        </w:rPr>
        <w:t xml:space="preserve">Supplier shall coordinate delivery scheduling directly with Buyer’s Facilities Management team. Minimum 3 business days advance notice required for delivery scheduling.</w:t>
      </w:r>
    </w:p>
    <w:p>
      <w:pPr>
        <w:pStyle w:val="Heading1"/>
      </w:pPr>
      <w:r>
        <w:t xml:space="preserve">6. Warranty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Manufacturer Warranty. </w:t>
      </w:r>
      <w:r>
        <w:rPr>
          <w:rFonts w:ascii="Arial" w:cs="Arial" w:eastAsia="Arial" w:hAnsi="Arial"/>
          <w:sz w:val="20"/>
          <w:szCs w:val="20"/>
        </w:rPr>
        <w:t xml:space="preserve">All products carry the standard manufacturer warranty. HON products carry a Limited Lifetime Warranty. Steelcase and Knoll warranty terms vary by product 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Warranty Coordination. </w:t>
      </w:r>
      <w:r>
        <w:rPr>
          <w:rFonts w:ascii="Arial" w:cs="Arial" w:eastAsia="Arial" w:hAnsi="Arial"/>
          <w:sz w:val="20"/>
          <w:szCs w:val="20"/>
        </w:rPr>
        <w:t xml:space="preserve">Supplier shall coordinate all warranty claims with the manufacturer on behalf of Buyer at no additional charge, including arranging replacement parts, technician visits, and product exchanges.</w:t>
      </w:r>
    </w:p>
    <w:p>
      <w:pPr>
        <w:pStyle w:val="Heading1"/>
      </w:pPr>
      <w:r>
        <w:t xml:space="preserve">7. Returns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Standard Returns. </w:t>
      </w:r>
      <w:r>
        <w:rPr>
          <w:rFonts w:ascii="Arial" w:cs="Arial" w:eastAsia="Arial" w:hAnsi="Arial"/>
          <w:sz w:val="20"/>
          <w:szCs w:val="20"/>
        </w:rPr>
        <w:t xml:space="preserve">Undamaged, unmodified furniture may be returned within thirty (30) days of delivery. Restocking fee of $150 per unit applies for assembled furniture. Unassembled/boxed items: no restocking fee.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Defective Products. </w:t>
      </w:r>
      <w:r>
        <w:rPr>
          <w:rFonts w:ascii="Arial" w:cs="Arial" w:eastAsia="Arial" w:hAnsi="Arial"/>
          <w:sz w:val="20"/>
          <w:szCs w:val="20"/>
        </w:rPr>
        <w:t xml:space="preserve">Defective products may be returned at any time during the warranty period at no cost to Buyer.</w:t>
      </w:r>
    </w:p>
    <w:p>
      <w:r>
        <w:br w:type="page"/>
      </w:r>
    </w:p>
    <w:p>
      <w:pPr>
        <w:pStyle w:val="Heading1"/>
      </w:pPr>
      <w:r>
        <w:t xml:space="preserve">8. Insurance and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Insurance. </w:t>
      </w:r>
      <w:r>
        <w:rPr>
          <w:rFonts w:ascii="Arial" w:cs="Arial" w:eastAsia="Arial" w:hAnsi="Arial"/>
          <w:sz w:val="20"/>
          <w:szCs w:val="20"/>
        </w:rPr>
        <w:t xml:space="preserve">Supplier shall maintain: (a) Commercial General Liability of $2,000,000 per occurrence; (b) Workers’ Compensation per statutory requirements; (c) Commercial Auto Liability of $1,000,000 combined single limit. Certificates of insurance shall be provided upon request.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Compliance. </w:t>
      </w:r>
      <w:r>
        <w:rPr>
          <w:rFonts w:ascii="Arial" w:cs="Arial" w:eastAsia="Arial" w:hAnsi="Arial"/>
          <w:sz w:val="20"/>
          <w:szCs w:val="20"/>
        </w:rPr>
        <w:t xml:space="preserve">Supplier shall comply with all applicable laws including OSHA, ADA, EPA, and state/local regulations. All products must meet applicable ANSI/BIFMA standards.</w:t>
      </w:r>
    </w:p>
    <w:p>
      <w:pPr>
        <w:pStyle w:val="Heading1"/>
      </w:pPr>
      <w:r>
        <w:t xml:space="preserve">9. Sustainability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 Certifications. </w:t>
      </w:r>
      <w:r>
        <w:rPr>
          <w:rFonts w:ascii="Arial" w:cs="Arial" w:eastAsia="Arial" w:hAnsi="Arial"/>
          <w:sz w:val="20"/>
          <w:szCs w:val="20"/>
        </w:rPr>
        <w:t xml:space="preserve">Supplier shall prioritize products with BIFMA LEVEL 2 or higher certification, Greenguard certification, and/or SCS Indoor Advantage Gold certification.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 End-of-Life. </w:t>
      </w:r>
      <w:r>
        <w:rPr>
          <w:rFonts w:ascii="Arial" w:cs="Arial" w:eastAsia="Arial" w:hAnsi="Arial"/>
          <w:sz w:val="20"/>
          <w:szCs w:val="20"/>
        </w:rPr>
        <w:t xml:space="preserve">Supplier shall offer furniture recycling and responsible disposal options for retired products.</w:t>
      </w:r>
    </w:p>
    <w:p>
      <w:pPr>
        <w:pStyle w:val="Heading1"/>
      </w:pPr>
      <w:r>
        <w:t xml:space="preserve">10. Confidentiality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pricing, terms, and commercial information is confidential. Neither party shall disclose to third parties without prior written consent.</w:t>
      </w:r>
    </w:p>
    <w:p>
      <w:pPr>
        <w:pStyle w:val="Heading1"/>
      </w:pPr>
      <w:r>
        <w:t xml:space="preserve">11.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Commonwealth of Massachusetts.</w:t>
      </w:r>
    </w:p>
    <w:p>
      <w:pPr>
        <w:pStyle w:val="Heading1"/>
      </w:pPr>
      <w:r>
        <w:t xml:space="preserve">12. Amendment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2025-09-15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Diana Reyes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Amendment 1: Updated HON discount from 38% to 40% minimum based on FY2025 volume commitment. Added Knoll as authorized manufacturer. Updated contract ceiling from $200K to $250K per year.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2024-03-01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Diana Reyes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execution. Covered manufacturers: HON and Steelcase. Contract ceiling: $200K/year.</w:t>
            </w:r>
          </w:p>
        </w:tc>
      </w:tr>
    </w:tbl>
    <w:p>
      <w:pPr>
        <w:spacing w:before="360"/>
      </w:pPr>
    </w:p>
    <w:p>
      <w:pPr>
        <w:pBdr>
          <w:bottom w:val="single" w:color="1B3A5C" w:sz="4" w:space="4"/>
        </w:pBdr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SIGNATURES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WITNESS WHEREOF, the parties have executed this Agreement as of the Effective Date.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MERIDIAN TECHNOLOGIES INC.</w:t>
            </w:r>
          </w:p>
          <w:p>
            <w:pPr>
              <w:spacing w:after="20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/s/ Karen Williams</w:t>
            </w:r>
          </w:p>
          <w:p>
            <w:pPr>
              <w:pBdr>
                <w:bottom w:val="single" w:color="333333" w:sz="2" w:space="2"/>
              </w:pBdr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Karen Williams, VP Procurement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February 25, 2024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CORPORATE FURNITURE SOLUTIONS INC.</w:t>
            </w:r>
          </w:p>
          <w:p>
            <w:pPr>
              <w:spacing w:after="20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/s/ James Whitfield</w:t>
            </w:r>
          </w:p>
          <w:p>
            <w:pPr>
              <w:pBdr>
                <w:bottom w:val="single" w:color="333333" w:sz="2" w:space="2"/>
              </w:pBdr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James Whitfield, President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February 22, 2024</w:t>
            </w:r>
          </w:p>
        </w:tc>
      </w:tr>
    </w:tbl>
    <w:p>
      <w:pPr>
        <w:spacing w:before="300"/>
      </w:pPr>
    </w:p>
    <w:p>
      <w:pPr>
        <w:pBdr>
          <w:top w:val="single" w:color="CCCCCC" w:sz="2" w:space="4"/>
        </w:pBdr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CFS-MSA-2024-0078  |  Meridian Technologies Inc. &amp; Corporate Furniture Solutions Inc.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Meridian Technologies Inc. &amp; Corporate Furniture Solutions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CFS-MSA-2024-0078  |  Master Service Agreement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2026-02-13T14:35:48.200Z</dcterms:created>
  <dcterms:modified xsi:type="dcterms:W3CDTF">2026-02-13T14:35:48.201Z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