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Oswald" w:cs="Oswald" w:eastAsia="Oswald" w:hAnsi="Oswald"/>
        </w:rPr>
      </w:pPr>
      <w:r w:rsidDel="00000000" w:rsidR="00000000" w:rsidRPr="00000000">
        <w:rPr>
          <w:rtl w:val="0"/>
        </w:rPr>
      </w:r>
    </w:p>
    <w:tbl>
      <w:tblPr>
        <w:tblStyle w:val="Table1"/>
        <w:tblW w:w="1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tblGridChange w:id="0">
          <w:tblGrid>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pStyle w:val="Heading1"/>
              <w:rPr>
                <w:rFonts w:ascii="Oswald" w:cs="Oswald" w:eastAsia="Oswald" w:hAnsi="Oswald"/>
              </w:rPr>
            </w:pPr>
            <w:bookmarkStart w:colFirst="0" w:colLast="0" w:name="_5nc89088rvyu" w:id="0"/>
            <w:bookmarkEnd w:id="0"/>
            <w:r w:rsidDel="00000000" w:rsidR="00000000" w:rsidRPr="00000000">
              <w:rPr>
                <w:rFonts w:ascii="Oswald" w:cs="Oswald" w:eastAsia="Oswald" w:hAnsi="Oswald"/>
                <w:rtl w:val="0"/>
              </w:rPr>
              <w:t xml:space="preserve">CHA-39</w:t>
            </w:r>
          </w:p>
        </w:tc>
      </w:tr>
    </w:tbl>
    <w:p w:rsidR="00000000" w:rsidDel="00000000" w:rsidP="00000000" w:rsidRDefault="00000000" w:rsidRPr="00000000" w14:paraId="00000003">
      <w:pPr>
        <w:rPr>
          <w:rFonts w:ascii="Oswald" w:cs="Oswald" w:eastAsia="Oswald" w:hAnsi="Oswald"/>
        </w:rPr>
      </w:pPr>
      <w:r w:rsidDel="00000000" w:rsidR="00000000" w:rsidRPr="00000000">
        <w:rPr>
          <w:rtl w:val="0"/>
        </w:rPr>
      </w:r>
    </w:p>
    <w:tbl>
      <w:tblPr>
        <w:tblStyle w:val="Table2"/>
        <w:tblW w:w="7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5"/>
        <w:tblGridChange w:id="0">
          <w:tblGrid>
            <w:gridCol w:w="7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rFonts w:ascii="Oswald" w:cs="Oswald" w:eastAsia="Oswald" w:hAnsi="Oswald"/>
              </w:rPr>
            </w:pPr>
            <w:r w:rsidDel="00000000" w:rsidR="00000000" w:rsidRPr="00000000">
              <w:rPr>
                <w:rFonts w:ascii="Oswald" w:cs="Oswald" w:eastAsia="Oswald" w:hAnsi="Oswald"/>
                <w:rtl w:val="0"/>
              </w:rPr>
              <w:t xml:space="preserve">Cybersecurity Portal for Effective Management of Servers and Firewalls</w:t>
            </w:r>
          </w:p>
        </w:tc>
      </w:tr>
    </w:tbl>
    <w:p w:rsidR="00000000" w:rsidDel="00000000" w:rsidP="00000000" w:rsidRDefault="00000000" w:rsidRPr="00000000" w14:paraId="00000005">
      <w:pPr>
        <w:rPr>
          <w:rFonts w:ascii="Oswald" w:cs="Oswald" w:eastAsia="Oswald" w:hAnsi="Oswald"/>
        </w:rPr>
      </w:pPr>
      <w:r w:rsidDel="00000000" w:rsidR="00000000" w:rsidRPr="00000000">
        <w:rPr>
          <w:rFonts w:ascii="Oswald" w:cs="Oswald" w:eastAsia="Oswald" w:hAnsi="Oswald"/>
          <w:rtl w:val="0"/>
        </w:rPr>
        <w:t xml:space="preserve">PS_Bucket : </w:t>
      </w:r>
    </w:p>
    <w:tbl>
      <w:tblPr>
        <w:tblStyle w:val="Table3"/>
        <w:tblW w:w="4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tblGridChange w:id="0">
          <w:tblGrid>
            <w:gridCol w:w="4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Oswald" w:cs="Oswald" w:eastAsia="Oswald" w:hAnsi="Oswald"/>
              </w:rPr>
            </w:pPr>
            <w:r w:rsidDel="00000000" w:rsidR="00000000" w:rsidRPr="00000000">
              <w:rPr>
                <w:rFonts w:ascii="Oswald" w:cs="Oswald" w:eastAsia="Oswald" w:hAnsi="Oswald"/>
                <w:rtl w:val="0"/>
              </w:rPr>
              <w:t xml:space="preserve">Blockchain &amp; Cybersecurity</w:t>
            </w:r>
          </w:p>
        </w:tc>
      </w:tr>
    </w:tbl>
    <w:p w:rsidR="00000000" w:rsidDel="00000000" w:rsidP="00000000" w:rsidRDefault="00000000" w:rsidRPr="00000000" w14:paraId="00000007">
      <w:pPr>
        <w:rPr>
          <w:rFonts w:ascii="Oswald" w:cs="Oswald" w:eastAsia="Oswald" w:hAnsi="Oswald"/>
        </w:rPr>
      </w:pPr>
      <w:r w:rsidDel="00000000" w:rsidR="00000000" w:rsidRPr="00000000">
        <w:rPr>
          <w:rtl w:val="0"/>
        </w:rPr>
      </w:r>
    </w:p>
    <w:tbl>
      <w:tblPr>
        <w:tblStyle w:val="Table4"/>
        <w:tblW w:w="1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tblGridChange w:id="0">
          <w:tblGrid>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Oswald" w:cs="Oswald" w:eastAsia="Oswald" w:hAnsi="Oswald"/>
              </w:rPr>
            </w:pPr>
            <w:r w:rsidDel="00000000" w:rsidR="00000000" w:rsidRPr="00000000">
              <w:rPr>
                <w:rFonts w:ascii="Oswald" w:cs="Oswald" w:eastAsia="Oswald" w:hAnsi="Oswald"/>
                <w:rtl w:val="0"/>
              </w:rPr>
              <w:t xml:space="preserve">PS_TYPE Software</w:t>
            </w:r>
          </w:p>
        </w:tc>
      </w:tr>
    </w:tbl>
    <w:p w:rsidR="00000000" w:rsidDel="00000000" w:rsidP="00000000" w:rsidRDefault="00000000" w:rsidRPr="00000000" w14:paraId="00000009">
      <w:pPr>
        <w:rPr>
          <w:rFonts w:ascii="Oswald" w:cs="Oswald" w:eastAsia="Oswald" w:hAnsi="Oswald"/>
        </w:rPr>
      </w:pPr>
      <w:r w:rsidDel="00000000" w:rsidR="00000000" w:rsidRPr="00000000">
        <w:rPr>
          <w:rtl w:val="0"/>
        </w:rPr>
      </w:r>
    </w:p>
    <w:tbl>
      <w:tblPr>
        <w:tblStyle w:val="Table5"/>
        <w:tblW w:w="14490.0" w:type="dxa"/>
        <w:jc w:val="left"/>
        <w:tblInd w:w="-55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0"/>
        <w:tblGridChange w:id="0">
          <w:tblGrid>
            <w:gridCol w:w="14490"/>
          </w:tblGrid>
        </w:tblGridChange>
      </w:tblGrid>
      <w:tr>
        <w:trPr>
          <w:cantSplit w:val="0"/>
          <w:trHeight w:val="15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Oswald" w:cs="Oswald" w:eastAsia="Oswald" w:hAnsi="Oswald"/>
              </w:rPr>
            </w:pPr>
            <w:r w:rsidDel="00000000" w:rsidR="00000000" w:rsidRPr="00000000">
              <w:rPr>
                <w:rFonts w:ascii="Oswald" w:cs="Oswald" w:eastAsia="Oswald" w:hAnsi="Oswald"/>
                <w:rtl w:val="0"/>
              </w:rPr>
              <w:t xml:space="preserve">The All India Council for Technical Education (AICTE) is responsible for managing and safeguarding critical infrastructure and data related to technical education institutions across India. To ensure robust cybersecurity measures, AICTE requires a centralized and comprehensive portal dedicated to managing servers, firewalls, load balancers, software licenses, user access, and other data center hardware components is commonly known as a Data Center Management Portal or Data Center Infrastructure Management (DCIM) Portal. However, the current infrastructure management practices face various challenges that hinder efficient and secure operations. The existing problem can be defined by the following factors: Fragmented Infrastructure Management: AICTE's infrastructure management practices may be fragmented, resulting in disparate systems and tools for managing servers, firewalls, load balancers, and other hardware components. This lack of centralized control leads to inefficiencies, inconsistencies, and potential security vulnerabilities. </w:t>
              <w:br w:type="textWrapping"/>
              <w:br w:type="textWrapping"/>
              <w:t xml:space="preserve">1. Manual and Time-Consuming Processes: The absence of an integrated portal leads to manual and time-consuming processes for managing various infrastructure components. Activities such as provisioning, monitoring, patching, and license management are often performed manually, consuming significant human resources and increasing the risk of errors or oversights. </w:t>
              <w:br w:type="textWrapping"/>
              <w:br w:type="textWrapping"/>
              <w:t xml:space="preserve">2. Limited Visibility and Control: Without a dedicated portal, AICTE may face challenges in gaining comprehensive visibility into the status, performance, and security of servers, firewalls, load balancers, and other hardware components. This limitation hampers effective monitoring, maintenance, and proactive identification of potential security threats or vulnerabilities. </w:t>
              <w:br w:type="textWrapping"/>
              <w:br w:type="textWrapping"/>
              <w:t xml:space="preserve">3. Compliance and License Management: The absence of a centralized portal makes it difficult to track and manage software licenses and ensure compliance with licensing agreements. This may result in the misuse of licenses, unintentional non-compliance, or unnecessary expenses due to duplicate purchases or inadequate license usage tracking. </w:t>
              <w:br w:type="textWrapping"/>
              <w:br w:type="textWrapping"/>
              <w:t xml:space="preserve">4. User Access Management: AICTE needs an efficient mechanism to manage user access to various infrastructure components. This includes defining user roles and permissions, ensuring secure authentication and authorization mechanisms, and maintaining an auditable log of user activities. Without a dedicated portal, managing user access becomes challenging and increases the risk of unauthorized access or privilege abuse. Addressing these challenges and implementing an AICTE Cybersecurity Portal has these specific feature need to be developed </w:t>
              <w:br w:type="textWrapping"/>
              <w:br w:type="textWrapping"/>
              <w:t xml:space="preserve">5. Server Management: The portal allows administrators to manage servers, including provisioning, configuration, monitoring, and maintenance tasks. It provides an overview of server health, resource utilization, and performance metrics. </w:t>
              <w:br w:type="textWrapping"/>
              <w:br w:type="textWrapping"/>
              <w:t xml:space="preserve">6. Firewall and Network Device Management: The portal enables management and configuration of firewalls, switches, routers, and other network devices. It provides a central interface to set up and monitor network policies, security rules, and traffic management. </w:t>
              <w:br w:type="textWrapping"/>
              <w:br w:type="textWrapping"/>
              <w:t xml:space="preserve">7. Load Balancer Management: Load balancers play a critical role in distributing network traffic across multiple servers. The portal allows configuration, monitoring, and scaling of load balancers to ensure optimal performance, high availability, and efficient resource utilization. </w:t>
              <w:br w:type="textWrapping"/>
              <w:br w:type="textWrapping"/>
              <w:t xml:space="preserve">8. Software License Management: It provides a centralized repository to manage software licenses for various applications and operating systems. The portal helps track license usage, compliance, renewal dates, and license allocation to specific servers or users. </w:t>
              <w:br w:type="textWrapping"/>
              <w:br w:type="textWrapping"/>
              <w:t xml:space="preserve">9. User Access and Identity Management: The portal facilitates user access control, authentication, and authorization. Administrators can define user roles, permissions, and access levels for different components and resources within the data center environment. </w:t>
              <w:br w:type="textWrapping"/>
              <w:br w:type="textWrapping"/>
              <w:t xml:space="preserve">10. Hardware Inventory and Asset Tracking: The portal maintains an inventory of data center hardware components, including servers, switches, firewalls, load balancers, and more. It tracks hardware configurations, warranties, and maintenance schedules, helping with resource planning and optimizing hardware lifecycle management. </w:t>
              <w:br w:type="textWrapping"/>
              <w:br w:type="textWrapping"/>
              <w:t xml:space="preserve">11. Monitoring and Alerting: The portal offers real-time monitoring of hardware components, system performance, and environmental conditions (e.g., temperature, humidity). It generates alerts and notifications for issues such as hardware failures, network disruptions, or abnormal resource consumption. </w:t>
              <w:br w:type="textWrapping"/>
              <w:br w:type="textWrapping"/>
              <w:t xml:space="preserve">12. Reporting and Analytics: The portal provides reporting and analytics capabilities to generate insights into data center operations, resource utilization, and performance metrics. It offers dashboards, charts, and customizable reports to aid in decision-making, capacity planning, and troubleshooting. </w:t>
              <w:br w:type="textWrapping"/>
              <w:br w:type="textWrapping"/>
              <w:t xml:space="preserve">13. Integration and Automation: The portal integrates with other management tools and systems within the data center, such as ticketing systems, configuration management databases (CMDB), or IT service management (ITSM) platforms. It also supports automation capabilities through APIs, allowing for seamless integration with existing workflows and processes. </w:t>
              <w:br w:type="textWrapping"/>
              <w:br w:type="textWrapping"/>
              <w:t xml:space="preserve">14. Security and Compliance: The portal includes security features to ensure secure access, data protection, and compliance with industry standards and regulations. It may include features like role-based access control (RBAC), audit logs, and encryption of sensitive data. A well-designed Data Center Management Portal helps streamline operations, improve efficiency, and enhance the overall management of data center infrastructure and resources. It centralizes critical functions and provides a holistic view of the data center environment, enabling administrators to efficiently manage and monitor hardware components, network devices, user access, and software licenses.</w:t>
            </w:r>
          </w:p>
        </w:tc>
      </w:tr>
    </w:tbl>
    <w:p w:rsidR="00000000" w:rsidDel="00000000" w:rsidP="00000000" w:rsidRDefault="00000000" w:rsidRPr="00000000" w14:paraId="0000000B">
      <w:pPr>
        <w:rPr>
          <w:rFonts w:ascii="Oswald" w:cs="Oswald" w:eastAsia="Oswald" w:hAnsi="Oswal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