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CHA-39 — 2-Day Execution Plan</w:t>
      </w:r>
    </w:p>
    <w:p>
      <w:pPr>
        <w:spacing w:after="20"/>
        <w:jc w:val="center"/>
      </w:pPr>
      <w:r>
        <w:rPr>
          <w:i/>
          <w:iCs/>
          <w:color w:val="444444"/>
          <w:sz w:val="26"/>
          <w:szCs w:val="26"/>
        </w:rPr>
        <w:t xml:space="preserve">AI/ML + RBAC/IAM — Chaitanya Thakar</w:t>
      </w:r>
    </w:p>
    <w:p>
      <w:pPr>
        <w:spacing w:after="360"/>
        <w:jc w:val="center"/>
      </w:pPr>
      <w:r>
        <w:rPr>
          <w:color w:val="666666"/>
          <w:sz w:val="20"/>
          <w:szCs w:val="20"/>
        </w:rPr>
        <w:t xml:space="preserve">Build: 2 days  |  Integration &amp; test: 1–1.5 days. Assumes ~7 focused hours/build day — rescale blocks proportionally if your actual hours differ.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60" w:before="320"/>
      </w:pPr>
      <w:r>
        <w:t xml:space="preserve">1. Verdict on the Original Checklist</w:t>
      </w:r>
    </w:p>
    <w:p>
      <w:pPr>
        <w:spacing w:after="140"/>
      </w:pPr>
      <w:r>
        <w:t xml:space="preserve">The core ML design (15-minute sliding-window features, Isolation Forest, explainability, frozen-baseline training, DB-polling watcher) is sound and already built and tested — it carries over directly. Three items in the original checklist do not fit a 2-day budget and are cut or demoted below: Hugging Face Spaces deployment (free tier sleeps after 48h of inactivity and cannot be configured otherwise — real risk of a dead endpoint exactly when judges try it), a dedicated FastAPI /predict service (redundant with the DB-polling watcher already built, unless Jiya specifically wants direct HTTP forwarding instead), and the NSL-KDD benchmark script (demoted from a core deliverable to a hard-capped, cut-if-behind stretch item for Slide 6 only).</w:t>
      </w:r>
    </w:p>
    <w:p>
      <w:pPr>
        <w:pStyle w:val="Heading1"/>
        <w:spacing w:after="160" w:before="320"/>
      </w:pPr>
      <w:r>
        <w:t xml:space="preserve">2. Day 1 — Core Build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00"/>
        <w:gridCol w:w="900"/>
        <w:gridCol w:w="1900"/>
      </w:tblGrid>
      <w:t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0:00–0:30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Send the 4 cross-team contract messages (Het / Jiya / Riddhi / Maharshi — exact text in Section 3). Blocking — do this before anything else.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  <w:tc>
          <w:tcPr>
            <w:tcW w:type="dxa" w:w="1900"/>
            <w:shd w:fill="E7F0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Must-do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0:30–2:30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Adapt anomaly_detection.py + train_and_save_model.py to the confirmed (or interim) schema; regenerate the baseline model.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hr</w:t>
            </w:r>
          </w:p>
        </w:tc>
        <w:tc>
          <w:tcPr>
            <w:tcW w:type="dxa" w:w="1900"/>
            <w:shd w:fill="E7F0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Must-do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2:30–4:00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Adapt live_watcher.py to poll the real table and write to the real alerts schema (add severity, map column names).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 hr</w:t>
            </w:r>
          </w:p>
        </w:tc>
        <w:tc>
          <w:tcPr>
            <w:tcW w:type="dxa" w:w="1900"/>
            <w:shd w:fill="E7F0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Must-do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4:00–5:00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Write the RBAC matrix as a Casbin policy (rbac_model.conf + policy.csv) from the matrix already in cha39_rbac_iam_ml_plan.docx; write the JWT claim schema for Jiya/Maharshi.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hr</w:t>
            </w:r>
          </w:p>
        </w:tc>
        <w:tc>
          <w:tcPr>
            <w:tcW w:type="dxa" w:w="1900"/>
            <w:shd w:fill="E7F0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Must-do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5:00–5:45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 telemetry threshold check (CPU &gt; 90% or Temp &gt; 75°C for 3 consecutive cycles → PREDICTIVE_HARDWARE_ALERT).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 min</w:t>
            </w:r>
          </w:p>
        </w:tc>
        <w:tc>
          <w:tcPr>
            <w:tcW w:type="dxa" w:w="19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Cut-if-behind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5:45–7:00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Buffer. Smoke-test whatever pieces exist so far.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1.25 hr</w:t>
            </w:r>
          </w:p>
        </w:tc>
        <w:tc>
          <w:tcPr>
            <w:tcW w:type="dxa" w:w="1900"/>
            <w:shd w:fill="E7F0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Must-do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t xml:space="preserve">3. Day 2 — Integration &amp; Polish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00"/>
        <w:gridCol w:w="900"/>
        <w:gridCol w:w="1900"/>
      </w:tblGrid>
      <w:t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0:00–2:00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pipeline integration test against the real (or staging) Postgres — confirm the write/read cycle end to end.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hr</w:t>
            </w:r>
          </w:p>
        </w:tc>
        <w:tc>
          <w:tcPr>
            <w:tcW w:type="dxa" w:w="1900"/>
            <w:shd w:fill="E7F0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Must-do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2:00–3:00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 whatever breaks in integration. This slot is reserved, not optional — something will break.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hr</w:t>
            </w:r>
          </w:p>
        </w:tc>
        <w:tc>
          <w:tcPr>
            <w:tcW w:type="dxa" w:w="1900"/>
            <w:shd w:fill="E7F0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Must-do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3:00–3:30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Jiya's /alerts endpoint reads correctly; confirm Riddhi's frontend renders one real flagged event.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  <w:tc>
          <w:tcPr>
            <w:tcW w:type="dxa" w:w="1900"/>
            <w:shd w:fill="E7F0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Must-do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3:30–5:00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NSL-KDD benchmark script (Precision/Recall/F1/ROC-AUC + one plot) for the Slide 6 reference — hard cap, stop at 5:00 regardless of progress.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 hr max</w:t>
            </w:r>
          </w:p>
        </w:tc>
        <w:tc>
          <w:tcPr>
            <w:tcW w:type="dxa" w:w="19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Cut-if-behind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5:00–6:00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Rehearse the 3 judge-defense answers out loud (Section 4) until you can say them without reading.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hr</w:t>
            </w:r>
          </w:p>
        </w:tc>
        <w:tc>
          <w:tcPr>
            <w:tcW w:type="dxa" w:w="1900"/>
            <w:shd w:fill="E7F0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Must-do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6:00–7:00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Buffer.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hr</w:t>
            </w:r>
          </w:p>
        </w:tc>
        <w:tc>
          <w:tcPr>
            <w:tcW w:type="dxa" w:w="1900"/>
            <w:shd w:fill="E7F0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Must-do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t xml:space="preserve">4. Testing (1–1.5 Days)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00"/>
        <w:gridCol w:w="900"/>
        <w:gridCol w:w="1900"/>
      </w:tblGrid>
      <w:t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3, 0:00–1:30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Re-seed clean demo data; retune the contamination parameter against real/near-real traffic so alerts aren't noisy.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 hr</w:t>
            </w:r>
          </w:p>
        </w:tc>
        <w:tc>
          <w:tcPr>
            <w:tcW w:type="dxa" w:w="1900"/>
            <w:shd w:fill="E7F0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Must-do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3, 1:30–3:30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team run-through: login → RBAC gate → injected anomaly → alert → dashboard, start to finish.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hr</w:t>
            </w:r>
          </w:p>
        </w:tc>
        <w:tc>
          <w:tcPr>
            <w:tcW w:type="dxa" w:w="1900"/>
            <w:shd w:fill="E7F0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Must-do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3, 3:30–4:30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Edge cases: no anomalies present, alerts table briefly unreachable, watcher restart behaviour.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hr</w:t>
            </w:r>
          </w:p>
        </w:tc>
        <w:tc>
          <w:tcPr>
            <w:tcW w:type="dxa" w:w="1900"/>
            <w:shd w:fill="E7F0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Must-do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3, 4:30–6:00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timed dry-run of the demo script/pitch.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 hr</w:t>
            </w:r>
          </w:p>
        </w:tc>
        <w:tc>
          <w:tcPr>
            <w:tcW w:type="dxa" w:w="1900"/>
            <w:shd w:fill="E7F0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Must-do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4 (half day)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fixes from Day 3's dry-run; one more full rehearsal; freeze the demo dataset.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2–3 hr</w:t>
            </w:r>
          </w:p>
        </w:tc>
        <w:tc>
          <w:tcPr>
            <w:tcW w:type="dxa" w:w="1900"/>
            <w:shd w:fill="E7F0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Must-do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t xml:space="preserve">5. Cross-Team Contracts — Send These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Het (Database): </w:t>
      </w:r>
      <w:r>
        <w:t xml:space="preserve">Confirm which table feeds Isolation Forest — monitoring_metrics (server telemetry) or a dedicated auth/access-event table. His current audit_logs is described as admin/data-change records, not raw per-login telemetry; if auth events are the source, a new table is needed. Also confirm the alerts table matches: id, user_id, severity, anomaly_score, is_anomaly, top_reason, created_at.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Jiya (Backend): </w:t>
      </w:r>
      <w:r>
        <w:t xml:space="preserve">Confirm DB-polling (watcher writes to alerts, Go reads from it) versus direct HTTP forwarding to a prediction endpoint. Default to DB-polling — it's already built; only build the HTTP path if she specifically needs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Riddhi (Frontend): </w:t>
      </w:r>
      <w:r>
        <w:t xml:space="preserve">Send the exact JSON shape her Anomaly Inspector Modal should expect: user_id, window, anomaly_score, is_anomaly, top_reason, severity.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Maharshi (Architect): </w:t>
      </w:r>
      <w:r>
        <w:t xml:space="preserve">Confirm the 4 role strings are final: viewer, operator, admin, super-admin — these are what the Casbin policy and JWT claim are built against.</w:t>
      </w:r>
    </w:p>
    <w:p>
      <w:pPr>
        <w:pStyle w:val="Heading1"/>
        <w:spacing w:after="160" w:before="320"/>
      </w:pPr>
      <w:r>
        <w:t xml:space="preserve">6. Explicitly Cut for This Timeline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Hugging Face Spaces deployment — skip entirely. Confirmed free-tier Spaces sleep after 48 hours of inactivity with no way to disable this on the free plan; not worth the setup time or the demo-day risk.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Dedicated FastAPI /predict service — skip unless Jiya explicitly asks for direct HTTP forwarding. The DB-polling watcher already covers this.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NSL-KDD benchmark suite — demoted to a 1.5-hour hard-capped stretch item on Day 2. If it doesn't finish in that window, cut it and mention the algorithm choice is validated in principle, not with a live number.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telemetry threshold alerting — cheap, but genuinely optional; first thing to drop on Day 1 if the core pipeline runs long.</w:t>
      </w:r>
    </w:p>
    <w:p>
      <w:pPr>
        <w:pStyle w:val="Heading1"/>
        <w:spacing w:after="160" w:before="320"/>
      </w:pPr>
      <w:r>
        <w:t xml:space="preserve">7. Judge Defense — Rehearse These Out 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 Isolation Forest over LSTM/Autoencoders? </w:t>
      </w:r>
      <w:r>
        <w:t xml:space="preserve">Unsupervised, tree-based, near-linear training time, sub-millisecond inference — no need for millions of labelled attack records or GPU infrastructure to get real-time explainable flags.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 do you prevent model poisoning? </w:t>
      </w:r>
      <w:r>
        <w:t xml:space="preserve">No blind online retraining on live traffic. The model trains on a frozen, verified baseline snapshot; updates only happen via scheduled retraining on audited, human-reviewed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 does this fit Zero Trust? </w:t>
      </w:r>
      <w:r>
        <w:t xml:space="preserve">Traditional auth only checks identity at login. This adds continuous behavioural verification during the session — anomalous activity can flag or help revoke a session's trust, not just the initial login.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2026-08-17T07:37:02.082Z</dcterms:created>
  <dcterms:modified xsi:type="dcterms:W3CDTF">2026-08-17T07:37:02.094Z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