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CHA-39 — Cyber Lakshya</w:t>
      </w:r>
    </w:p>
    <w:p>
      <w:pPr>
        <w:spacing w:after="20"/>
        <w:jc w:val="center"/>
      </w:pPr>
      <w:r>
        <w:rPr>
          <w:i/>
          <w:iCs/>
          <w:color w:val="444444"/>
          <w:sz w:val="26"/>
          <w:szCs w:val="26"/>
        </w:rPr>
        <w:t xml:space="preserve">AICTE Cybersecurity Portal for Servers &amp; Firewalls (DCIM)</w:t>
      </w:r>
    </w:p>
    <w:p>
      <w:pPr>
        <w:spacing w:after="300"/>
        <w:jc w:val="center"/>
      </w:pPr>
      <w:r>
        <w:rPr>
          <w:color w:val="444444"/>
          <w:sz w:val="22"/>
          <w:szCs w:val="22"/>
        </w:rPr>
        <w:t xml:space="preserve">Module Plan: Identity &amp; Access Management, RBAC, and AI/ML Anomaly Detection</w:t>
      </w:r>
    </w:p>
    <w:p>
      <w:pPr>
        <w:spacing w:after="40"/>
        <w:jc w:val="center"/>
      </w:pPr>
      <w:r>
        <w:rPr>
          <w:b/>
          <w:bCs/>
          <w:sz w:val="22"/>
          <w:szCs w:val="22"/>
        </w:rPr>
        <w:t xml:space="preserve">Prepared by Chaitanya Thakar</w:t>
      </w:r>
    </w:p>
    <w:p>
      <w:pPr>
        <w:spacing w:after="360"/>
        <w:jc w:val="center"/>
      </w:pPr>
      <w:r>
        <w:rPr>
          <w:color w:val="666666"/>
          <w:sz w:val="20"/>
          <w:szCs w:val="20"/>
        </w:rPr>
        <w:t xml:space="preserve">Role: AI/ML Lead &amp; RBAC Implementation</w:t>
      </w:r>
    </w:p>
    <w:p>
      <w:pPr>
        <w:pBdr>
          <w:bottom w:val="single" w:color="999999" w:sz="6"/>
        </w:pBdr>
        <w:spacing w:after="200"/>
      </w:pPr>
    </w:p>
    <w:p>
      <w:pPr>
        <w:pStyle w:val="Heading1"/>
        <w:spacing w:after="160" w:before="320"/>
      </w:pPr>
      <w:r>
        <w:t xml:space="preserve">1. Role Overview</w:t>
      </w:r>
    </w:p>
    <w:p>
      <w:pPr>
        <w:spacing w:after="140"/>
      </w:pPr>
      <w:r>
        <w:t xml:space="preserve">This module covers two integrated responsibilities within the CHA-39 portal: (a) designing and enforcing Role-Based Access Control through a JWT-based identity layer, and (b) building an unsupervised machine learning pipeline that analyses that same identity layer's activity to surface behavioural anomalies. The two responsibilities are deliberately linked — the access-control layer is both the system being secured and the primary data source for the anomaly detector.</w:t>
      </w:r>
    </w:p>
    <w:p>
      <w:pPr>
        <w:pStyle w:val="Heading1"/>
        <w:spacing w:after="160" w:before="320"/>
      </w:pPr>
      <w:r>
        <w:t xml:space="preserve">2. Identity &amp; Access Management (RBAC + JWT)</w:t>
      </w:r>
    </w:p>
    <w:p>
      <w:pPr>
        <w:pStyle w:val="Heading2"/>
        <w:spacing w:after="120" w:before="240"/>
      </w:pPr>
      <w:r>
        <w:t xml:space="preserve">2.1 RBAC Matrix</w:t>
      </w:r>
    </w:p>
    <w:p>
      <w:pPr>
        <w:spacing w:after="140"/>
      </w:pPr>
      <w:r>
        <w:t xml:space="preserve">The following matrix defines baseline permissions per role across the portal's core resource categories. This matrix is the single source of truth that both the frontend (route/component gating) and backend (API authorization) implementations derive from.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1400"/>
        <w:gridCol w:w="1500"/>
        <w:gridCol w:w="1400"/>
      </w:tblGrid>
      <w:tr>
        <w:tc>
          <w:tcPr>
            <w:tcW w:type="dxa" w:w="1300"/>
            <w:shd w:fill="1F3864" w:val="clear"/>
            <w:tcMar>
              <w:top w:type="dxa" w:w="80"/>
              <w:left w:type="dxa" w:w="100"/>
              <w:bottom w:type="dxa" w:w="80"/>
              <w:right w:type="dxa" w:w="100"/>
            </w:tcMar>
          </w:tcPr>
          <w:p>
            <w:r>
              <w:rPr>
                <w:b/>
                <w:bCs/>
                <w:color w:val="FFFFFF"/>
                <w:sz w:val="20"/>
                <w:szCs w:val="20"/>
              </w:rPr>
              <w:t xml:space="preserve">Role</w:t>
            </w:r>
          </w:p>
        </w:tc>
        <w:tc>
          <w:tcPr>
            <w:tcW w:type="dxa" w:w="1500"/>
            <w:shd w:fill="1F3864" w:val="clear"/>
            <w:tcMar>
              <w:top w:type="dxa" w:w="80"/>
              <w:left w:type="dxa" w:w="100"/>
              <w:bottom w:type="dxa" w:w="80"/>
              <w:right w:type="dxa" w:w="100"/>
            </w:tcMar>
          </w:tcPr>
          <w:p>
            <w:r>
              <w:rPr>
                <w:b/>
                <w:bCs/>
                <w:color w:val="FFFFFF"/>
                <w:sz w:val="20"/>
                <w:szCs w:val="20"/>
              </w:rPr>
              <w:t xml:space="preserve">Servers</w:t>
            </w:r>
          </w:p>
        </w:tc>
        <w:tc>
          <w:tcPr>
            <w:tcW w:type="dxa" w:w="1700"/>
            <w:shd w:fill="1F3864" w:val="clear"/>
            <w:tcMar>
              <w:top w:type="dxa" w:w="80"/>
              <w:left w:type="dxa" w:w="100"/>
              <w:bottom w:type="dxa" w:w="80"/>
              <w:right w:type="dxa" w:w="100"/>
            </w:tcMar>
          </w:tcPr>
          <w:p>
            <w:r>
              <w:rPr>
                <w:b/>
                <w:bCs/>
                <w:color w:val="FFFFFF"/>
                <w:sz w:val="20"/>
                <w:szCs w:val="20"/>
              </w:rPr>
              <w:t xml:space="preserve">Firewall Rules</w:t>
            </w:r>
          </w:p>
        </w:tc>
        <w:tc>
          <w:tcPr>
            <w:tcW w:type="dxa" w:w="1400"/>
            <w:shd w:fill="1F3864" w:val="clear"/>
            <w:tcMar>
              <w:top w:type="dxa" w:w="80"/>
              <w:left w:type="dxa" w:w="100"/>
              <w:bottom w:type="dxa" w:w="80"/>
              <w:right w:type="dxa" w:w="100"/>
            </w:tcMar>
          </w:tcPr>
          <w:p>
            <w:r>
              <w:rPr>
                <w:b/>
                <w:bCs/>
                <w:color w:val="FFFFFF"/>
                <w:sz w:val="20"/>
                <w:szCs w:val="20"/>
              </w:rPr>
              <w:t xml:space="preserve">Licenses</w:t>
            </w:r>
          </w:p>
        </w:tc>
        <w:tc>
          <w:tcPr>
            <w:tcW w:type="dxa" w:w="1500"/>
            <w:shd w:fill="1F3864" w:val="clear"/>
            <w:tcMar>
              <w:top w:type="dxa" w:w="80"/>
              <w:left w:type="dxa" w:w="100"/>
              <w:bottom w:type="dxa" w:w="80"/>
              <w:right w:type="dxa" w:w="100"/>
            </w:tcMar>
          </w:tcPr>
          <w:p>
            <w:r>
              <w:rPr>
                <w:b/>
                <w:bCs/>
                <w:color w:val="FFFFFF"/>
                <w:sz w:val="20"/>
                <w:szCs w:val="20"/>
              </w:rPr>
              <w:t xml:space="preserve">User Mgmt</w:t>
            </w:r>
          </w:p>
        </w:tc>
        <w:tc>
          <w:tcPr>
            <w:tcW w:type="dxa" w:w="1400"/>
            <w:shd w:fill="1F3864" w:val="clear"/>
            <w:tcMar>
              <w:top w:type="dxa" w:w="80"/>
              <w:left w:type="dxa" w:w="100"/>
              <w:bottom w:type="dxa" w:w="80"/>
              <w:right w:type="dxa" w:w="100"/>
            </w:tcMar>
          </w:tcPr>
          <w:p>
            <w:r>
              <w:rPr>
                <w:b/>
                <w:bCs/>
                <w:color w:val="FFFFFF"/>
                <w:sz w:val="20"/>
                <w:szCs w:val="20"/>
              </w:rPr>
              <w:t xml:space="preserve">Audit Log</w:t>
            </w:r>
          </w:p>
        </w:tc>
      </w:tr>
      <w:tr>
        <w:tc>
          <w:tcPr>
            <w:tcW w:type="dxa" w:w="1300"/>
            <w:tcMar>
              <w:top w:type="dxa" w:w="80"/>
              <w:left w:type="dxa" w:w="100"/>
              <w:bottom w:type="dxa" w:w="80"/>
              <w:right w:type="dxa" w:w="100"/>
            </w:tcMar>
          </w:tcPr>
          <w:p>
            <w:r>
              <w:rPr>
                <w:b w:val="false"/>
                <w:bCs w:val="false"/>
                <w:sz w:val="20"/>
                <w:szCs w:val="20"/>
              </w:rPr>
              <w:t xml:space="preserve">viewer</w:t>
            </w:r>
          </w:p>
        </w:tc>
        <w:tc>
          <w:tcPr>
            <w:tcW w:type="dxa" w:w="1500"/>
            <w:tcMar>
              <w:top w:type="dxa" w:w="80"/>
              <w:left w:type="dxa" w:w="100"/>
              <w:bottom w:type="dxa" w:w="80"/>
              <w:right w:type="dxa" w:w="100"/>
            </w:tcMar>
          </w:tcPr>
          <w:p>
            <w:r>
              <w:rPr>
                <w:b w:val="false"/>
                <w:bCs w:val="false"/>
                <w:sz w:val="20"/>
                <w:szCs w:val="20"/>
              </w:rPr>
              <w:t xml:space="preserve">read</w:t>
            </w:r>
          </w:p>
        </w:tc>
        <w:tc>
          <w:tcPr>
            <w:tcW w:type="dxa" w:w="1700"/>
            <w:tcMar>
              <w:top w:type="dxa" w:w="80"/>
              <w:left w:type="dxa" w:w="100"/>
              <w:bottom w:type="dxa" w:w="80"/>
              <w:right w:type="dxa" w:w="100"/>
            </w:tcMar>
          </w:tcPr>
          <w:p>
            <w:r>
              <w:rPr>
                <w:b w:val="false"/>
                <w:bCs w:val="false"/>
                <w:sz w:val="20"/>
                <w:szCs w:val="20"/>
              </w:rPr>
              <w:t xml:space="preserve">read</w:t>
            </w:r>
          </w:p>
        </w:tc>
        <w:tc>
          <w:tcPr>
            <w:tcW w:type="dxa" w:w="1400"/>
            <w:tcMar>
              <w:top w:type="dxa" w:w="80"/>
              <w:left w:type="dxa" w:w="100"/>
              <w:bottom w:type="dxa" w:w="80"/>
              <w:right w:type="dxa" w:w="100"/>
            </w:tcMar>
          </w:tcPr>
          <w:p>
            <w:r>
              <w:rPr>
                <w:b w:val="false"/>
                <w:bCs w:val="false"/>
                <w:sz w:val="20"/>
                <w:szCs w:val="20"/>
              </w:rPr>
              <w:t xml:space="preserve">—</w:t>
            </w:r>
          </w:p>
        </w:tc>
        <w:tc>
          <w:tcPr>
            <w:tcW w:type="dxa" w:w="1500"/>
            <w:tcMar>
              <w:top w:type="dxa" w:w="80"/>
              <w:left w:type="dxa" w:w="100"/>
              <w:bottom w:type="dxa" w:w="80"/>
              <w:right w:type="dxa" w:w="100"/>
            </w:tcMar>
          </w:tcPr>
          <w:p>
            <w:r>
              <w:rPr>
                <w:b w:val="false"/>
                <w:bCs w:val="false"/>
                <w:sz w:val="20"/>
                <w:szCs w:val="20"/>
              </w:rPr>
              <w:t xml:space="preserve">—</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300"/>
            <w:tcMar>
              <w:top w:type="dxa" w:w="80"/>
              <w:left w:type="dxa" w:w="100"/>
              <w:bottom w:type="dxa" w:w="80"/>
              <w:right w:type="dxa" w:w="100"/>
            </w:tcMar>
          </w:tcPr>
          <w:p>
            <w:r>
              <w:rPr>
                <w:b w:val="false"/>
                <w:bCs w:val="false"/>
                <w:sz w:val="20"/>
                <w:szCs w:val="20"/>
              </w:rPr>
              <w:t xml:space="preserve">operator</w:t>
            </w:r>
          </w:p>
        </w:tc>
        <w:tc>
          <w:tcPr>
            <w:tcW w:type="dxa" w:w="1500"/>
            <w:tcMar>
              <w:top w:type="dxa" w:w="80"/>
              <w:left w:type="dxa" w:w="100"/>
              <w:bottom w:type="dxa" w:w="80"/>
              <w:right w:type="dxa" w:w="100"/>
            </w:tcMar>
          </w:tcPr>
          <w:p>
            <w:r>
              <w:rPr>
                <w:b w:val="false"/>
                <w:bCs w:val="false"/>
                <w:sz w:val="20"/>
                <w:szCs w:val="20"/>
              </w:rPr>
              <w:t xml:space="preserve">read/write</w:t>
            </w:r>
          </w:p>
        </w:tc>
        <w:tc>
          <w:tcPr>
            <w:tcW w:type="dxa" w:w="1700"/>
            <w:tcMar>
              <w:top w:type="dxa" w:w="80"/>
              <w:left w:type="dxa" w:w="100"/>
              <w:bottom w:type="dxa" w:w="80"/>
              <w:right w:type="dxa" w:w="100"/>
            </w:tcMar>
          </w:tcPr>
          <w:p>
            <w:r>
              <w:rPr>
                <w:b w:val="false"/>
                <w:bCs w:val="false"/>
                <w:sz w:val="20"/>
                <w:szCs w:val="20"/>
              </w:rPr>
              <w:t xml:space="preserve">read</w:t>
            </w:r>
          </w:p>
        </w:tc>
        <w:tc>
          <w:tcPr>
            <w:tcW w:type="dxa" w:w="1400"/>
            <w:tcMar>
              <w:top w:type="dxa" w:w="80"/>
              <w:left w:type="dxa" w:w="100"/>
              <w:bottom w:type="dxa" w:w="80"/>
              <w:right w:type="dxa" w:w="100"/>
            </w:tcMar>
          </w:tcPr>
          <w:p>
            <w:r>
              <w:rPr>
                <w:b w:val="false"/>
                <w:bCs w:val="false"/>
                <w:sz w:val="20"/>
                <w:szCs w:val="20"/>
              </w:rPr>
              <w:t xml:space="preserve">read</w:t>
            </w:r>
          </w:p>
        </w:tc>
        <w:tc>
          <w:tcPr>
            <w:tcW w:type="dxa" w:w="1500"/>
            <w:tcMar>
              <w:top w:type="dxa" w:w="80"/>
              <w:left w:type="dxa" w:w="100"/>
              <w:bottom w:type="dxa" w:w="80"/>
              <w:right w:type="dxa" w:w="100"/>
            </w:tcMar>
          </w:tcPr>
          <w:p>
            <w:r>
              <w:rPr>
                <w:b w:val="false"/>
                <w:bCs w:val="false"/>
                <w:sz w:val="20"/>
                <w:szCs w:val="20"/>
              </w:rPr>
              <w:t xml:space="preserve">—</w:t>
            </w:r>
          </w:p>
        </w:tc>
        <w:tc>
          <w:tcPr>
            <w:tcW w:type="dxa" w:w="1400"/>
            <w:tcMar>
              <w:top w:type="dxa" w:w="80"/>
              <w:left w:type="dxa" w:w="100"/>
              <w:bottom w:type="dxa" w:w="80"/>
              <w:right w:type="dxa" w:w="100"/>
            </w:tcMar>
          </w:tcPr>
          <w:p>
            <w:r>
              <w:rPr>
                <w:b w:val="false"/>
                <w:bCs w:val="false"/>
                <w:sz w:val="20"/>
                <w:szCs w:val="20"/>
              </w:rPr>
              <w:t xml:space="preserve">—</w:t>
            </w:r>
          </w:p>
        </w:tc>
      </w:tr>
      <w:tr>
        <w:tc>
          <w:tcPr>
            <w:tcW w:type="dxa" w:w="1300"/>
            <w:tcMar>
              <w:top w:type="dxa" w:w="80"/>
              <w:left w:type="dxa" w:w="100"/>
              <w:bottom w:type="dxa" w:w="80"/>
              <w:right w:type="dxa" w:w="100"/>
            </w:tcMar>
          </w:tcPr>
          <w:p>
            <w:r>
              <w:rPr>
                <w:b w:val="false"/>
                <w:bCs w:val="false"/>
                <w:sz w:val="20"/>
                <w:szCs w:val="20"/>
              </w:rPr>
              <w:t xml:space="preserve">admin</w:t>
            </w:r>
          </w:p>
        </w:tc>
        <w:tc>
          <w:tcPr>
            <w:tcW w:type="dxa" w:w="1500"/>
            <w:tcMar>
              <w:top w:type="dxa" w:w="80"/>
              <w:left w:type="dxa" w:w="100"/>
              <w:bottom w:type="dxa" w:w="80"/>
              <w:right w:type="dxa" w:w="100"/>
            </w:tcMar>
          </w:tcPr>
          <w:p>
            <w:r>
              <w:rPr>
                <w:b w:val="false"/>
                <w:bCs w:val="false"/>
                <w:sz w:val="20"/>
                <w:szCs w:val="20"/>
              </w:rPr>
              <w:t xml:space="preserve">read/write</w:t>
            </w:r>
          </w:p>
        </w:tc>
        <w:tc>
          <w:tcPr>
            <w:tcW w:type="dxa" w:w="1700"/>
            <w:tcMar>
              <w:top w:type="dxa" w:w="80"/>
              <w:left w:type="dxa" w:w="100"/>
              <w:bottom w:type="dxa" w:w="80"/>
              <w:right w:type="dxa" w:w="100"/>
            </w:tcMar>
          </w:tcPr>
          <w:p>
            <w:r>
              <w:rPr>
                <w:b w:val="false"/>
                <w:bCs w:val="false"/>
                <w:sz w:val="20"/>
                <w:szCs w:val="20"/>
              </w:rPr>
              <w:t xml:space="preserve">read/write</w:t>
            </w:r>
          </w:p>
        </w:tc>
        <w:tc>
          <w:tcPr>
            <w:tcW w:type="dxa" w:w="1400"/>
            <w:tcMar>
              <w:top w:type="dxa" w:w="80"/>
              <w:left w:type="dxa" w:w="100"/>
              <w:bottom w:type="dxa" w:w="80"/>
              <w:right w:type="dxa" w:w="100"/>
            </w:tcMar>
          </w:tcPr>
          <w:p>
            <w:r>
              <w:rPr>
                <w:b w:val="false"/>
                <w:bCs w:val="false"/>
                <w:sz w:val="20"/>
                <w:szCs w:val="20"/>
              </w:rPr>
              <w:t xml:space="preserve">read/write</w:t>
            </w:r>
          </w:p>
        </w:tc>
        <w:tc>
          <w:tcPr>
            <w:tcW w:type="dxa" w:w="1500"/>
            <w:tcMar>
              <w:top w:type="dxa" w:w="80"/>
              <w:left w:type="dxa" w:w="100"/>
              <w:bottom w:type="dxa" w:w="80"/>
              <w:right w:type="dxa" w:w="100"/>
            </w:tcMar>
          </w:tcPr>
          <w:p>
            <w:r>
              <w:rPr>
                <w:b w:val="false"/>
                <w:bCs w:val="false"/>
                <w:sz w:val="20"/>
                <w:szCs w:val="20"/>
              </w:rPr>
              <w:t xml:space="preserve">read</w:t>
            </w:r>
          </w:p>
        </w:tc>
        <w:tc>
          <w:tcPr>
            <w:tcW w:type="dxa" w:w="1400"/>
            <w:tcMar>
              <w:top w:type="dxa" w:w="80"/>
              <w:left w:type="dxa" w:w="100"/>
              <w:bottom w:type="dxa" w:w="80"/>
              <w:right w:type="dxa" w:w="100"/>
            </w:tcMar>
          </w:tcPr>
          <w:p>
            <w:r>
              <w:rPr>
                <w:b w:val="false"/>
                <w:bCs w:val="false"/>
                <w:sz w:val="20"/>
                <w:szCs w:val="20"/>
              </w:rPr>
              <w:t xml:space="preserve">read</w:t>
            </w:r>
          </w:p>
        </w:tc>
      </w:tr>
      <w:tr>
        <w:tc>
          <w:tcPr>
            <w:tcW w:type="dxa" w:w="1300"/>
            <w:tcMar>
              <w:top w:type="dxa" w:w="80"/>
              <w:left w:type="dxa" w:w="100"/>
              <w:bottom w:type="dxa" w:w="80"/>
              <w:right w:type="dxa" w:w="100"/>
            </w:tcMar>
          </w:tcPr>
          <w:p>
            <w:r>
              <w:rPr>
                <w:b w:val="false"/>
                <w:bCs w:val="false"/>
                <w:sz w:val="20"/>
                <w:szCs w:val="20"/>
              </w:rPr>
              <w:t xml:space="preserve">super-admin</w:t>
            </w:r>
          </w:p>
        </w:tc>
        <w:tc>
          <w:tcPr>
            <w:tcW w:type="dxa" w:w="1500"/>
            <w:tcMar>
              <w:top w:type="dxa" w:w="80"/>
              <w:left w:type="dxa" w:w="100"/>
              <w:bottom w:type="dxa" w:w="80"/>
              <w:right w:type="dxa" w:w="100"/>
            </w:tcMar>
          </w:tcPr>
          <w:p>
            <w:r>
              <w:rPr>
                <w:b w:val="false"/>
                <w:bCs w:val="false"/>
                <w:sz w:val="20"/>
                <w:szCs w:val="20"/>
              </w:rPr>
              <w:t xml:space="preserve">read/write</w:t>
            </w:r>
          </w:p>
        </w:tc>
        <w:tc>
          <w:tcPr>
            <w:tcW w:type="dxa" w:w="1700"/>
            <w:tcMar>
              <w:top w:type="dxa" w:w="80"/>
              <w:left w:type="dxa" w:w="100"/>
              <w:bottom w:type="dxa" w:w="80"/>
              <w:right w:type="dxa" w:w="100"/>
            </w:tcMar>
          </w:tcPr>
          <w:p>
            <w:r>
              <w:rPr>
                <w:b w:val="false"/>
                <w:bCs w:val="false"/>
                <w:sz w:val="20"/>
                <w:szCs w:val="20"/>
              </w:rPr>
              <w:t xml:space="preserve">read/write</w:t>
            </w:r>
          </w:p>
        </w:tc>
        <w:tc>
          <w:tcPr>
            <w:tcW w:type="dxa" w:w="1400"/>
            <w:tcMar>
              <w:top w:type="dxa" w:w="80"/>
              <w:left w:type="dxa" w:w="100"/>
              <w:bottom w:type="dxa" w:w="80"/>
              <w:right w:type="dxa" w:w="100"/>
            </w:tcMar>
          </w:tcPr>
          <w:p>
            <w:r>
              <w:rPr>
                <w:b w:val="false"/>
                <w:bCs w:val="false"/>
                <w:sz w:val="20"/>
                <w:szCs w:val="20"/>
              </w:rPr>
              <w:t xml:space="preserve">read/write</w:t>
            </w:r>
          </w:p>
        </w:tc>
        <w:tc>
          <w:tcPr>
            <w:tcW w:type="dxa" w:w="1500"/>
            <w:tcMar>
              <w:top w:type="dxa" w:w="80"/>
              <w:left w:type="dxa" w:w="100"/>
              <w:bottom w:type="dxa" w:w="80"/>
              <w:right w:type="dxa" w:w="100"/>
            </w:tcMar>
          </w:tcPr>
          <w:p>
            <w:r>
              <w:rPr>
                <w:b w:val="false"/>
                <w:bCs w:val="false"/>
                <w:sz w:val="20"/>
                <w:szCs w:val="20"/>
              </w:rPr>
              <w:t xml:space="preserve">read/write</w:t>
            </w:r>
          </w:p>
        </w:tc>
        <w:tc>
          <w:tcPr>
            <w:tcW w:type="dxa" w:w="1400"/>
            <w:tcMar>
              <w:top w:type="dxa" w:w="80"/>
              <w:left w:type="dxa" w:w="100"/>
              <w:bottom w:type="dxa" w:w="80"/>
              <w:right w:type="dxa" w:w="100"/>
            </w:tcMar>
          </w:tcPr>
          <w:p>
            <w:r>
              <w:rPr>
                <w:b w:val="false"/>
                <w:bCs w:val="false"/>
                <w:sz w:val="20"/>
                <w:szCs w:val="20"/>
              </w:rPr>
              <w:t xml:space="preserve">read</w:t>
            </w:r>
          </w:p>
        </w:tc>
      </w:tr>
    </w:tbl>
    <w:p>
      <w:pPr>
        <w:spacing w:before="200"/>
      </w:pPr>
    </w:p>
    <w:p>
      <w:pPr>
        <w:pStyle w:val="Heading2"/>
        <w:spacing w:after="120" w:before="240"/>
      </w:pPr>
      <w:r>
        <w:t xml:space="preserve">2.2 JWT Enforcement</w:t>
      </w:r>
    </w:p>
    <w:p>
      <w:pPr>
        <w:pStyle w:val="ListParagraph"/>
        <w:numPr>
          <w:ilvl w:val="0"/>
          <w:numId w:val="2"/>
        </w:numPr>
        <w:spacing w:after="80"/>
      </w:pPr>
      <w:r>
        <w:t xml:space="preserve">Each authenticated session is issued a signed JWT (RFC 7519) carrying a role claim drawn from the matrix above.</w:t>
      </w:r>
    </w:p>
    <w:p>
      <w:pPr>
        <w:pStyle w:val="ListParagraph"/>
        <w:numPr>
          <w:ilvl w:val="0"/>
          <w:numId w:val="2"/>
        </w:numPr>
        <w:spacing w:after="80"/>
      </w:pPr>
      <w:r>
        <w:t xml:space="preserve">Signing: HS256 is sufficient for the hackathon build; RS256 remains an option if asymmetric verification is preferred for the write-up.</w:t>
      </w:r>
    </w:p>
    <w:p>
      <w:pPr>
        <w:pStyle w:val="ListParagraph"/>
        <w:numPr>
          <w:ilvl w:val="0"/>
          <w:numId w:val="2"/>
        </w:numPr>
        <w:spacing w:after="80"/>
      </w:pPr>
      <w:r>
        <w:t xml:space="preserve">High-entropy user identifiers (UUIDv4) are used as the JWT subject to prevent ID enumeration.</w:t>
      </w:r>
    </w:p>
    <w:p>
      <w:pPr>
        <w:pStyle w:val="ListParagraph"/>
        <w:numPr>
          <w:ilvl w:val="0"/>
          <w:numId w:val="2"/>
        </w:numPr>
        <w:spacing w:after="80"/>
      </w:pPr>
      <w:r>
        <w:t xml:space="preserve">Tokens are short-lived with refresh handled client-side; role changes take effect on next token issuance.</w:t>
      </w:r>
    </w:p>
    <w:p>
      <w:pPr>
        <w:pStyle w:val="Heading2"/>
        <w:spacing w:after="120" w:before="240"/>
      </w:pPr>
      <w:r>
        <w:t xml:space="preserve">2.3 Backend Integration</w:t>
      </w:r>
    </w:p>
    <w:p>
      <w:pPr>
        <w:spacing w:after="140"/>
      </w:pPr>
      <w:r>
        <w:t xml:space="preserve">The exact claim name and the finalised role strings are handed off to the backend team so route-level middleware can validate the JWT signature and check the role claim against the matrix on every protected request. This is the single integration point between the RBAC design and the rest of the application — no separate permission system is maintained on the frontend or in the ML pipeline.</w:t>
      </w:r>
    </w:p>
    <w:p>
      <w:pPr>
        <w:pStyle w:val="Heading1"/>
        <w:spacing w:after="160" w:before="320"/>
      </w:pPr>
      <w:r>
        <w:t xml:space="preserve">3. AI/ML — Anomaly Detection</w:t>
      </w:r>
    </w:p>
    <w:p>
      <w:pPr>
        <w:pStyle w:val="Heading2"/>
        <w:spacing w:after="120" w:before="240"/>
      </w:pPr>
      <w:r>
        <w:t xml:space="preserve">3.1 Purpose</w:t>
      </w:r>
    </w:p>
    <w:p>
      <w:pPr>
        <w:spacing w:after="140"/>
      </w:pPr>
      <w:r>
        <w:t xml:space="preserve">The problem statement calls for “proactive identification of potential security threats” and real-time alerting beyond fixed thresholds. The anomaly detection module addresses this directly: rather than relying on manually tuned rules (e.g. “alert if failed logins &gt; 5”), it learns the statistical shape of normal access behaviour and flags activity that deviates from it — including patterns nobody anticipated in advance.</w:t>
      </w:r>
    </w:p>
    <w:p>
      <w:pPr>
        <w:spacing w:after="140"/>
      </w:pPr>
      <w:r>
        <w:t xml:space="preserve">Concretely, the model is scoped to identity/access-layer behaviour: compromised or stolen credentials, privilege misuse (a viewer-tier account touching admin-tier endpoints), brute-force login attempts, and off-pattern access timing.</w:t>
      </w:r>
    </w:p>
    <w:p>
      <w:pPr>
        <w:pStyle w:val="Heading2"/>
        <w:spacing w:after="120" w:before="240"/>
      </w:pPr>
      <w:r>
        <w:t xml:space="preserve">3.2 Data Source</w:t>
      </w:r>
    </w:p>
    <w:p>
      <w:pPr>
        <w:spacing w:after="140"/>
      </w:pPr>
      <w:r>
        <w:t xml:space="preserve">Training and scoring data is drawn from the portal's own authentication and access events — user ID, timestamp, endpoint accessed, success/failure, and source IP. No external or live production dataset is required or available at this stage; the model is trained on a captured baseline (see 3.4).</w:t>
      </w:r>
    </w:p>
    <w:p>
      <w:pPr>
        <w:pStyle w:val="Heading2"/>
        <w:spacing w:after="120" w:before="240"/>
      </w:pPr>
      <w:r>
        <w:t xml:space="preserve">3.3 Pipeline</w:t>
      </w:r>
    </w:p>
    <w:p>
      <w:pPr>
        <w:pStyle w:val="ListParagraph"/>
        <w:numPr>
          <w:ilvl w:val="0"/>
          <w:numId w:val="2"/>
        </w:numPr>
        <w:spacing w:after="80"/>
      </w:pPr>
      <w:r>
        <w:rPr>
          <w:b/>
          <w:bCs/>
        </w:rPr>
        <w:t xml:space="preserve">Feature engineering: </w:t>
      </w:r>
      <w:r>
        <w:t xml:space="preserve">raw events are aggregated per user per time window (15 minutes) into login count, failure count, distinct endpoints touched, distinct source IPs, and cyclically-encoded hour of day.</w:t>
      </w:r>
    </w:p>
    <w:p>
      <w:pPr>
        <w:pStyle w:val="ListParagraph"/>
        <w:numPr>
          <w:ilvl w:val="0"/>
          <w:numId w:val="2"/>
        </w:numPr>
        <w:spacing w:after="80"/>
      </w:pPr>
      <w:r>
        <w:rPr>
          <w:b/>
          <w:bCs/>
        </w:rPr>
        <w:t xml:space="preserve">Model: </w:t>
      </w:r>
      <w:r>
        <w:t xml:space="preserve">scikit-learn IsolationForest, unsupervised — no labelled attack data is required, which is what makes this feasible on a hackathon timeline.</w:t>
      </w:r>
    </w:p>
    <w:p>
      <w:pPr>
        <w:pStyle w:val="ListParagraph"/>
        <w:numPr>
          <w:ilvl w:val="0"/>
          <w:numId w:val="2"/>
        </w:numPr>
        <w:spacing w:after="80"/>
      </w:pPr>
      <w:r>
        <w:rPr>
          <w:b/>
          <w:bCs/>
        </w:rPr>
        <w:t xml:space="preserve">Scoring: </w:t>
      </w:r>
      <w:r>
        <w:t xml:space="preserve">each event window receives an anomaly score and a binary flag.</w:t>
      </w:r>
    </w:p>
    <w:p>
      <w:pPr>
        <w:pStyle w:val="ListParagraph"/>
        <w:numPr>
          <w:ilvl w:val="0"/>
          <w:numId w:val="2"/>
        </w:numPr>
        <w:spacing w:after="80"/>
      </w:pPr>
      <w:r>
        <w:rPr>
          <w:b/>
          <w:bCs/>
        </w:rPr>
        <w:t xml:space="preserve">Explainability: </w:t>
      </w:r>
      <w:r>
        <w:t xml:space="preserve">the feature that deviates most from the training baseline (by z-score) is surfaced alongside the flag, giving a human-readable “reason” rather than a bare number.</w:t>
      </w:r>
    </w:p>
    <w:p>
      <w:pPr>
        <w:pStyle w:val="Heading2"/>
        <w:spacing w:after="120" w:before="240"/>
      </w:pPr>
      <w:r>
        <w:t xml:space="preserve">3.4 Training Strategy</w:t>
      </w:r>
    </w:p>
    <w:p>
      <w:pPr>
        <w:spacing w:after="140"/>
      </w:pPr>
      <w:r>
        <w:t xml:space="preserve">The model is trained once on a captured “normal” baseline — synthetic mock traffic during early development (Phase 2), later a short recorded window of genuine clean usage — and then used to score incoming events continuously. True live/online retraining is deliberately avoided for this build: continuously retraining on unreviewed incoming data risks the model absorbing attack patterns as normal (baseline poisoning). Scheduled periodic retraining on reviewed data is noted as a production roadmap item rather than part of the hackathon build.</w:t>
      </w:r>
    </w:p>
    <w:p>
      <w:pPr>
        <w:pStyle w:val="Heading2"/>
        <w:spacing w:after="120" w:before="240"/>
      </w:pPr>
      <w:r>
        <w:t xml:space="preserve">3.5 Output &amp; Integration</w:t>
      </w:r>
    </w:p>
    <w:p>
      <w:pPr>
        <w:pStyle w:val="ListParagraph"/>
        <w:numPr>
          <w:ilvl w:val="0"/>
          <w:numId w:val="2"/>
        </w:numPr>
        <w:spacing w:after="80"/>
      </w:pPr>
      <w:r>
        <w:t xml:space="preserve">Scored results (anomaly_score, is_anomaly, top_reason) are written to an alerts table in the shared PostgreSQL schema.</w:t>
      </w:r>
    </w:p>
    <w:p>
      <w:pPr>
        <w:pStyle w:val="ListParagraph"/>
        <w:numPr>
          <w:ilvl w:val="0"/>
          <w:numId w:val="2"/>
        </w:numPr>
        <w:spacing w:after="80"/>
      </w:pPr>
      <w:r>
        <w:t xml:space="preserve">The backend exposes this as an /alerts endpoint.</w:t>
      </w:r>
    </w:p>
    <w:p>
      <w:pPr>
        <w:pStyle w:val="ListParagraph"/>
        <w:numPr>
          <w:ilvl w:val="0"/>
          <w:numId w:val="2"/>
        </w:numPr>
        <w:spacing w:after="80"/>
      </w:pPr>
      <w:r>
        <w:t xml:space="preserve">The frontend renders it in the AI/ML threat alert panel, visible to admin and super-admin roles per the RBAC matrix in Section 2.1.</w:t>
      </w:r>
    </w:p>
    <w:p>
      <w:pPr>
        <w:pStyle w:val="Heading2"/>
        <w:spacing w:after="120" w:before="240"/>
      </w:pPr>
      <w:r>
        <w:t xml:space="preserve">3.6 Optional Extension</w:t>
      </w:r>
    </w:p>
    <w:p>
      <w:pPr>
        <w:spacing w:after="140"/>
      </w:pPr>
      <w:r>
        <w:t xml:space="preserve">As a secondary, non-blocking enhancement, a separate classifier trained on a public network-intrusion benchmark (e.g. NSL-KDD) could be added to strengthen the project's AI/ML narrative. This is scoped as optional polish and is not a dependency for the core identity-layer anomaly detector described above.</w:t>
      </w:r>
    </w:p>
    <w:p>
      <w:pPr>
        <w:pStyle w:val="Heading1"/>
        <w:spacing w:after="160" w:before="320"/>
      </w:pPr>
      <w:r>
        <w:t xml:space="preserve">4. Timeline Alignment</w:t>
      </w:r>
    </w:p>
    <w:p>
      <w:pPr>
        <w:pStyle w:val="ListParagraph"/>
        <w:numPr>
          <w:ilvl w:val="0"/>
          <w:numId w:val="2"/>
        </w:numPr>
        <w:spacing w:after="80"/>
      </w:pPr>
      <w:r>
        <w:rPr>
          <w:b/>
          <w:bCs/>
        </w:rPr>
        <w:t xml:space="preserve">Phase 1 (Days 1–7): </w:t>
      </w:r>
      <w:r>
        <w:t xml:space="preserve">RBAC matrix finalised; JWT-based authentication endpoints implemented.</w:t>
      </w:r>
    </w:p>
    <w:p>
      <w:pPr>
        <w:pStyle w:val="ListParagraph"/>
        <w:numPr>
          <w:ilvl w:val="0"/>
          <w:numId w:val="2"/>
        </w:numPr>
        <w:spacing w:after="80"/>
      </w:pPr>
      <w:r>
        <w:rPr>
          <w:b/>
          <w:bCs/>
        </w:rPr>
        <w:t xml:space="preserve">Phase 2 (Days 8–14): </w:t>
      </w:r>
      <w:r>
        <w:t xml:space="preserve">mock access logs generated and fed into the Isolation Forest model; baseline training and scoring pipeline validated.</w:t>
      </w:r>
    </w:p>
    <w:p>
      <w:pPr>
        <w:pStyle w:val="ListParagraph"/>
        <w:numPr>
          <w:ilvl w:val="0"/>
          <w:numId w:val="2"/>
        </w:numPr>
        <w:spacing w:after="80"/>
      </w:pPr>
      <w:r>
        <w:rPr>
          <w:b/>
          <w:bCs/>
        </w:rPr>
        <w:t xml:space="preserve">Phase 3 (Days 15–21): </w:t>
      </w:r>
      <w:r>
        <w:t xml:space="preserve">RBAC controls integrated with the API gateway; anomaly alerts connected end-to-end to the live dashboard.</w:t>
      </w:r>
    </w:p>
    <w:p>
      <w:pPr>
        <w:pStyle w:val="Heading1"/>
        <w:spacing w:after="160" w:before="320"/>
      </w:pPr>
      <w:r>
        <w:t xml:space="preserve">5. Cross-Team Dependencies</w:t>
      </w:r>
    </w:p>
    <w:p>
      <w:pPr>
        <w:pStyle w:val="ListParagraph"/>
        <w:numPr>
          <w:ilvl w:val="0"/>
          <w:numId w:val="2"/>
        </w:numPr>
        <w:spacing w:after="80"/>
      </w:pPr>
      <w:r>
        <w:rPr>
          <w:b/>
          <w:bCs/>
        </w:rPr>
        <w:t xml:space="preserve">Backend (Jiya): </w:t>
      </w:r>
      <w:r>
        <w:t xml:space="preserve">JWKS/claim details for route-level RBAC enforcement.</w:t>
      </w:r>
    </w:p>
    <w:p>
      <w:pPr>
        <w:pStyle w:val="ListParagraph"/>
        <w:numPr>
          <w:ilvl w:val="0"/>
          <w:numId w:val="2"/>
        </w:numPr>
        <w:spacing w:after="80"/>
      </w:pPr>
      <w:r>
        <w:rPr>
          <w:b/>
          <w:bCs/>
        </w:rPr>
        <w:t xml:space="preserve">Database (Het): </w:t>
      </w:r>
      <w:r>
        <w:t xml:space="preserve">schema for the alerts/audit table the anomaly pipeline writes to.</w:t>
      </w:r>
    </w:p>
    <w:p>
      <w:pPr>
        <w:pStyle w:val="ListParagraph"/>
        <w:numPr>
          <w:ilvl w:val="0"/>
          <w:numId w:val="2"/>
        </w:numPr>
        <w:spacing w:after="80"/>
      </w:pPr>
      <w:r>
        <w:rPr>
          <w:b/>
          <w:bCs/>
        </w:rPr>
        <w:t xml:space="preserve">Frontend (Riddhi): </w:t>
      </w:r>
      <w:r>
        <w:t xml:space="preserve">alert panel design and role-gated view logic.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2026-08-16T18:04:27.634Z</dcterms:created>
  <dcterms:modified xsi:type="dcterms:W3CDTF">2026-08-16T18:04:27.647Z</dcterms:modified>
</cp:coreProperties>
</file>

<file path=docProps/custom.xml><?xml version="1.0" encoding="utf-8"?>
<Properties xmlns="http://schemas.openxmlformats.org/officeDocument/2006/custom-properties" xmlns:vt="http://schemas.openxmlformats.org/officeDocument/2006/docPropsVTypes"/>
</file>