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65" w:rsidRPr="00C83105" w:rsidRDefault="00C74476">
      <w:pPr>
        <w:rPr>
          <w:sz w:val="24"/>
          <w:szCs w:val="24"/>
        </w:rPr>
      </w:pPr>
      <w:r w:rsidRPr="00C83105">
        <w:rPr>
          <w:sz w:val="24"/>
          <w:szCs w:val="24"/>
        </w:rPr>
        <w:t xml:space="preserve">Cerinte </w:t>
      </w:r>
      <w:r w:rsidR="008F447C" w:rsidRPr="00C83105">
        <w:rPr>
          <w:sz w:val="24"/>
          <w:szCs w:val="24"/>
        </w:rPr>
        <w:t>detaliate si reformulate</w:t>
      </w:r>
    </w:p>
    <w:p w:rsidR="00C74476" w:rsidRPr="00C83105" w:rsidRDefault="00C74476">
      <w:pPr>
        <w:rPr>
          <w:sz w:val="24"/>
          <w:szCs w:val="24"/>
        </w:rPr>
      </w:pPr>
    </w:p>
    <w:tbl>
      <w:tblPr>
        <w:tblW w:w="5428" w:type="pct"/>
        <w:tblInd w:w="-292" w:type="dxa"/>
        <w:tblCellMar>
          <w:top w:w="15" w:type="dxa"/>
          <w:left w:w="15" w:type="dxa"/>
          <w:bottom w:w="15" w:type="dxa"/>
          <w:right w:w="15" w:type="dxa"/>
        </w:tblCellMar>
        <w:tblLook w:val="04A0" w:firstRow="1" w:lastRow="0" w:firstColumn="1" w:lastColumn="0" w:noHBand="0" w:noVBand="1"/>
      </w:tblPr>
      <w:tblGrid>
        <w:gridCol w:w="850"/>
        <w:gridCol w:w="2031"/>
        <w:gridCol w:w="6900"/>
      </w:tblGrid>
      <w:tr w:rsidR="00C74476" w:rsidRPr="00C83105" w:rsidTr="008F447C">
        <w:trPr>
          <w:tblHeader/>
        </w:trPr>
        <w:tc>
          <w:tcPr>
            <w:tcW w:w="43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b/>
                <w:bCs/>
                <w:sz w:val="24"/>
                <w:szCs w:val="24"/>
                <w:lang w:eastAsia="ro-RO"/>
              </w:rPr>
            </w:pPr>
            <w:r w:rsidRPr="00C83105">
              <w:rPr>
                <w:rFonts w:eastAsia="Times New Roman"/>
                <w:b/>
                <w:bCs/>
                <w:sz w:val="24"/>
                <w:szCs w:val="24"/>
                <w:lang w:eastAsia="ro-RO"/>
              </w:rPr>
              <w:t>ID</w:t>
            </w:r>
          </w:p>
        </w:tc>
        <w:tc>
          <w:tcPr>
            <w:tcW w:w="103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74476" w:rsidRPr="00C83105" w:rsidRDefault="00C83105" w:rsidP="008F447C">
            <w:pPr>
              <w:spacing w:after="0" w:line="240" w:lineRule="auto"/>
              <w:rPr>
                <w:rFonts w:eastAsia="Times New Roman"/>
                <w:b/>
                <w:bCs/>
                <w:sz w:val="24"/>
                <w:szCs w:val="24"/>
                <w:lang w:eastAsia="ro-RO"/>
              </w:rPr>
            </w:pPr>
            <w:r w:rsidRPr="00C83105">
              <w:rPr>
                <w:rFonts w:eastAsia="Times New Roman"/>
                <w:b/>
                <w:bCs/>
                <w:sz w:val="24"/>
                <w:szCs w:val="24"/>
                <w:lang w:eastAsia="ro-RO"/>
              </w:rPr>
              <w:t>Cerinta</w:t>
            </w:r>
          </w:p>
        </w:tc>
        <w:tc>
          <w:tcPr>
            <w:tcW w:w="352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C74476" w:rsidRPr="00C83105" w:rsidRDefault="00C83105" w:rsidP="008F447C">
            <w:pPr>
              <w:spacing w:after="0" w:line="240" w:lineRule="auto"/>
              <w:rPr>
                <w:rFonts w:eastAsia="Times New Roman"/>
                <w:b/>
                <w:bCs/>
                <w:sz w:val="24"/>
                <w:szCs w:val="24"/>
                <w:lang w:eastAsia="ro-RO"/>
              </w:rPr>
            </w:pPr>
            <w:r w:rsidRPr="00C83105">
              <w:rPr>
                <w:rFonts w:eastAsia="Times New Roman"/>
                <w:b/>
                <w:bCs/>
                <w:sz w:val="24"/>
                <w:szCs w:val="24"/>
                <w:lang w:eastAsia="ro-RO"/>
              </w:rPr>
              <w:t>Descriere</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-01</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Utilizatori și acces</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DC43C1" w:rsidP="00DC43C1">
            <w:pPr>
              <w:spacing w:after="0" w:line="240" w:lineRule="auto"/>
              <w:rPr>
                <w:rFonts w:eastAsia="Times New Roman"/>
                <w:sz w:val="24"/>
                <w:szCs w:val="24"/>
                <w:lang w:eastAsia="ro-RO"/>
              </w:rPr>
            </w:pPr>
            <w:r w:rsidRPr="00C83105">
              <w:rPr>
                <w:sz w:val="24"/>
                <w:szCs w:val="24"/>
              </w:rPr>
              <w:t>Autentificarea prin conturi asociate adreselor de e-mail și acordarea drepturilor de consultare sau modificare în funcție de rolul atribuit: operator de producție, personal de mentenanță, personal de logistică, personal de inventar sau administrator.</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-02</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Catalog de piese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Adăugarea, editarea, arhivarea și consultarea pieselor de schimb, cu cod unic, denumire, categorie, unitate de măsură și descriere opțională.</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-03</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Amplasarea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Înregistrarea și consultarea amplasării pieselor în depozit, inclusiv identificarea rotomatului și a poziției de depozitare.</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-04</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Starea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Evidența cantităților de piese în funcție de starea acestora: utilizabile, defecte, incomplete sau de verificat.</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-05</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Disponibilitatea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Afișarea distinctă a cantității totale existente în depozit și a cantității disponibile pentru intervenții. Numai piesele utilizabile vor fi considerate disponibile.</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-06</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Căutare și filtrare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Căutarea pieselor după cod sau denumire și filtrarea acestora după categorie, amplasare și stare.</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-07</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Mișcări de stoc</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Înregistrarea recepțiilor, eliberărilor și corecțiilor de stoc, cu piesă, cantitate, dată, motiv și utilizator. La recepție se vor putea menționa opțional furnizorul și documentul aferent.</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-08</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Validarea cantităților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Actualizarea automată a stocului după fiecare mișcare și blocarea eliberărilor care depășesc cantitatea utilizabilă disponibilă.</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-09</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Consumul pentru intervenții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Asocierea pieselor eliberate cu intervenția și echipamentul pentru care sunt utilizate.</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-10</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Actualizarea stării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Modificarea stării pieselor din inventar de către administrator, cu păstrarea în istoric a stării anterioare, a celei noi, a datei și a utilizatorului responsabil.</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-11</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Piese neutilizabile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Păstrarea în evidență a pieselor din depozit identificate ca defecte sau incomplete până la înregistrarea eliminării lor, fără includerea acestora în cantitatea disponibilă pentru intervenții.</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-12</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Eliminarea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Înregistrarea scoaterii definitive a pieselor din inventar de către administrator, cu piesă, cantitate, motiv, dată și utilizator responsabil, fără ștergerea istoricului anterior.</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lastRenderedPageBreak/>
              <w:t>C</w:t>
            </w:r>
            <w:r w:rsidR="00C74476" w:rsidRPr="00C83105">
              <w:rPr>
                <w:rFonts w:eastAsia="Times New Roman"/>
                <w:sz w:val="24"/>
                <w:szCs w:val="24"/>
                <w:lang w:eastAsia="ro-RO"/>
              </w:rPr>
              <w:t>-13</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Piese demontate defecte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Consemnarea în intervenție a pieselor demontate și constatate defecte, fără reintroducerea acestora în inventar.</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-14</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Reintroducerea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Reintroducerea manuală în inventar a pieselor demontate care pot fi reutilizate, exclusiv de către administrator, în starea „utilizabilă” sau „de verificat”.</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-15</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Istoricul pieselor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Consultarea istoricului mișcărilor de stoc și al schimbărilor de stare pentru fiecare articol.</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-16</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Evidența echipamentelor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DC43C1" w:rsidP="008F447C">
            <w:pPr>
              <w:spacing w:after="0" w:line="240" w:lineRule="auto"/>
              <w:rPr>
                <w:rFonts w:eastAsia="Times New Roman"/>
                <w:sz w:val="24"/>
                <w:szCs w:val="24"/>
                <w:lang w:eastAsia="ro-RO"/>
              </w:rPr>
            </w:pPr>
            <w:r w:rsidRPr="00C83105">
              <w:rPr>
                <w:sz w:val="24"/>
                <w:szCs w:val="24"/>
              </w:rPr>
              <w:t>Înregistrarea și consultarea echipamentelor, cu identificator, denumire sau tip, hală și stație.</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-17</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Hartă digitală</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Afișarea echipamentelor pe o hartă digitală, conform poziției lor în hală, cu posibilitatea consultării hărții pe un monitor dedicat.</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-18</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Semnalizare vizuală</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Semnalizarea pe hartă a sesizărilor nepreluate prin roșu, a intervențiilor în lucru prin galben și a echipamentelor confirmate ca funcționale prin verde.</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-19</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Detalii pe hartă</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DC43C1" w:rsidP="008F447C">
            <w:pPr>
              <w:spacing w:after="0" w:line="240" w:lineRule="auto"/>
              <w:rPr>
                <w:rFonts w:eastAsia="Times New Roman"/>
                <w:sz w:val="24"/>
                <w:szCs w:val="24"/>
                <w:lang w:eastAsia="ro-RO"/>
              </w:rPr>
            </w:pPr>
            <w:r w:rsidRPr="00C83105">
              <w:rPr>
                <w:sz w:val="24"/>
                <w:szCs w:val="24"/>
              </w:rPr>
              <w:t>Consultarea informațiilor despre echipament, a sesizării, a stadiului intervenției și a responsabilului curent prin selectarea echipamentului de pe hartă.</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-20</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Raportarea problemelor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Înregistrarea sesizărilor de către operatori prin identificarea echipamentului și descrierea problemei observate, cu păstrarea utilizatorului și a momentului raportării.</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-21</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Vizibilitatea sesizărilor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Afișarea sesizărilor către personalul de mentenanță atât într-o listă, cât și pe harta digitală.</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-22</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Configurarea priorităților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Configurarea priorității fiecărui echipament de către administrator, pe o scară de la 1 la 3, unde 1 reprezintă prioritatea cea mai ridicată, iar 3 cea mai scăzută.</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-23</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Prioritatea sesizărilor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Preluarea automată, la înregistrarea unei sesizări, a priorității configurate pentru echipamentul respectiv și afișarea acesteia personalului de mentenanță.</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-24</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Preluarea intervențiilor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Preluarea voluntară a sesizărilor de către membrii echipei de mentenanță, fără repartizare obligatorie de către un superior, cu înregistrarea responsabilului și a momentului preluării.</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-25</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Vizibilitatea intervențiilor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Păstrarea sesizărilor preluate în lista vizibilă întregii echipe, cu afișarea stadiului intervenției și a responsabilului curent.</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-26</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Colaborare și predare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83105" w:rsidP="008F447C">
            <w:pPr>
              <w:spacing w:after="0" w:line="240" w:lineRule="auto"/>
              <w:rPr>
                <w:rFonts w:eastAsia="Times New Roman"/>
                <w:sz w:val="24"/>
                <w:szCs w:val="24"/>
                <w:lang w:eastAsia="ro-RO"/>
              </w:rPr>
            </w:pPr>
            <w:r w:rsidRPr="00C83105">
              <w:rPr>
                <w:sz w:val="24"/>
                <w:szCs w:val="24"/>
              </w:rPr>
              <w:t xml:space="preserve">Gestionarea intervenției de către un singur responsabil curent, cu posibilitatea participării altor mecanici atunci când este necesar și a </w:t>
            </w:r>
            <w:r w:rsidRPr="00C83105">
              <w:rPr>
                <w:sz w:val="24"/>
                <w:szCs w:val="24"/>
              </w:rPr>
              <w:lastRenderedPageBreak/>
              <w:t>predării responsabilității către un coleg. Participanții și schimbările de responsabil vor fi păstrate în istoric.</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lastRenderedPageBreak/>
              <w:t>C</w:t>
            </w:r>
            <w:r w:rsidR="00C74476" w:rsidRPr="00C83105">
              <w:rPr>
                <w:rFonts w:eastAsia="Times New Roman"/>
                <w:sz w:val="24"/>
                <w:szCs w:val="24"/>
                <w:lang w:eastAsia="ro-RO"/>
              </w:rPr>
              <w:t>-27</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Acces între grupuri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Posibilitatea preluării sesizărilor și participării la intervenții fără restricții în aplicație bazate pe apartenența la un grup de mentenanță.</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-28</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Evidența intervenției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83105" w:rsidP="008F447C">
            <w:pPr>
              <w:spacing w:after="0" w:line="240" w:lineRule="auto"/>
              <w:rPr>
                <w:rFonts w:eastAsia="Times New Roman"/>
                <w:sz w:val="24"/>
                <w:szCs w:val="24"/>
                <w:lang w:eastAsia="ro-RO"/>
              </w:rPr>
            </w:pPr>
            <w:r w:rsidRPr="00C83105">
              <w:rPr>
                <w:sz w:val="24"/>
                <w:szCs w:val="24"/>
              </w:rPr>
              <w:t>Înregistrarea constatărilor, a lucrărilor efectuate, a pieselor înlocuite sau utilizate și a rezultatului intervenției de către personalul de mentenanță. Dacă intervenția nu poate continua din lipsa pieselor sau a personalului necesar, aceasta va putea fi marcată „în așteptare”, cu înregistrarea motivului și a momentului schimbării de stadiu. Istoricul schimbărilor de stadiu va fi păstrat.</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-29</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Istoricul echipamentelor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Consultarea istoricului sesizărilor și intervențiilor pentru fiecare echipament, inclusiv a mecanicilor implicați și a pieselor utilizate.</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-30</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Oprire și reluare</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Înregistrarea de către operator a datei și orei efective a opririi echipamentului și a reluării producției, cu precizie până la secundă.</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-31</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Durata nefuncționării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Calcularea automată a duratei de nefuncționare pe baza momentelor efective ale opririi și reluării producției.</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-32</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Evidența momentelor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Păstrarea distinctă a momentelor opririi, raportării sesizării, preluării intervenției și reluării producției. Finalizarea intervenției nu va fi considerată automat reluare a producției.</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-33</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Administrarea comenzilor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Înregistrarea și actualizarea comenzilor de producție și a informațiilor necesare executării acestora de către personalul de logistică.</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bookmarkStart w:id="0" w:name="_GoBack" w:colFirst="3" w:colLast="3"/>
            <w:r w:rsidRPr="00C83105">
              <w:rPr>
                <w:rFonts w:eastAsia="Times New Roman"/>
                <w:sz w:val="24"/>
                <w:szCs w:val="24"/>
                <w:lang w:eastAsia="ro-RO"/>
              </w:rPr>
              <w:t>C</w:t>
            </w:r>
            <w:r w:rsidR="00C74476" w:rsidRPr="00C83105">
              <w:rPr>
                <w:rFonts w:eastAsia="Times New Roman"/>
                <w:sz w:val="24"/>
                <w:szCs w:val="24"/>
                <w:lang w:eastAsia="ro-RO"/>
              </w:rPr>
              <w:t>-34</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Asocierea comenzilor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Asocierea comenzilor cu echipamentele sau stațiile de lucru și identificarea comenzii active pentru fiecare echipament.</w:t>
            </w:r>
          </w:p>
        </w:tc>
      </w:tr>
      <w:bookmarkEnd w:id="0"/>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-35</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83105" w:rsidP="008F447C">
            <w:pPr>
              <w:spacing w:after="0" w:line="240" w:lineRule="auto"/>
              <w:rPr>
                <w:rFonts w:eastAsia="Times New Roman"/>
                <w:sz w:val="24"/>
                <w:szCs w:val="24"/>
                <w:lang w:eastAsia="ro-RO"/>
              </w:rPr>
            </w:pPr>
            <w:r w:rsidRPr="00C83105">
              <w:rPr>
                <w:sz w:val="24"/>
                <w:szCs w:val="24"/>
              </w:rPr>
              <w:t>Identificarea echipamentului și consultarea comenzii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83105" w:rsidP="00DC43C1">
            <w:pPr>
              <w:spacing w:after="0" w:line="240" w:lineRule="auto"/>
              <w:rPr>
                <w:rFonts w:eastAsia="Times New Roman"/>
                <w:sz w:val="24"/>
                <w:szCs w:val="24"/>
                <w:lang w:eastAsia="ro-RO"/>
              </w:rPr>
            </w:pPr>
            <w:r w:rsidRPr="00C83105">
              <w:rPr>
                <w:sz w:val="24"/>
                <w:szCs w:val="24"/>
              </w:rPr>
              <w:t>Identificarea echipamentului prin scanarea codului asociat acestuia cu un cititor de coduri și afișarea parametrilor comenzii active, inclusiv numărul comenzii, produsul sau reperul, cantitatea planificată, materialul, culoarea necesară și lotul.</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-36</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83105" w:rsidP="008F447C">
            <w:pPr>
              <w:spacing w:after="0" w:line="240" w:lineRule="auto"/>
              <w:rPr>
                <w:rFonts w:eastAsia="Times New Roman"/>
                <w:sz w:val="24"/>
                <w:szCs w:val="24"/>
                <w:lang w:eastAsia="ro-RO"/>
              </w:rPr>
            </w:pPr>
            <w:r w:rsidRPr="00C83105">
              <w:rPr>
                <w:sz w:val="24"/>
                <w:szCs w:val="24"/>
              </w:rPr>
              <w:t>Confirmarea pregătirii și începerii producției</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83105" w:rsidP="00DC43C1">
            <w:pPr>
              <w:spacing w:after="0" w:line="240" w:lineRule="auto"/>
              <w:rPr>
                <w:rFonts w:eastAsia="Times New Roman"/>
                <w:sz w:val="24"/>
                <w:szCs w:val="24"/>
                <w:lang w:eastAsia="ro-RO"/>
              </w:rPr>
            </w:pPr>
            <w:r w:rsidRPr="00C83105">
              <w:rPr>
                <w:sz w:val="24"/>
                <w:szCs w:val="24"/>
              </w:rPr>
              <w:t>Înregistrarea confirmării operatorului că echipamentul a fost golit și curățat, că a fost introdus materialul de culoarea corespunzătoare și că nu au rămas în interior materiale de altă culoare. Confirmarea va reprezenta și declararea începerii comenzii, cu păstrarea operatorului, echipamentului, comenzii, lotului, datei și orei.</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-37</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Alerte de stoc</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83105" w:rsidP="008F447C">
            <w:pPr>
              <w:spacing w:after="0" w:line="240" w:lineRule="auto"/>
              <w:rPr>
                <w:rFonts w:eastAsia="Times New Roman"/>
                <w:sz w:val="24"/>
                <w:szCs w:val="24"/>
                <w:lang w:eastAsia="ro-RO"/>
              </w:rPr>
            </w:pPr>
            <w:r w:rsidRPr="00C83105">
              <w:rPr>
                <w:sz w:val="24"/>
                <w:szCs w:val="24"/>
              </w:rPr>
              <w:t>Stabilirea unui prag minim pentru fiecare articol și semnalarea articolelor pentru care cantitatea utilizabilă disponibilă este egală cu pragul configurat sau mai mică decât acesta.</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lastRenderedPageBreak/>
              <w:t>C</w:t>
            </w:r>
            <w:r w:rsidR="00C74476" w:rsidRPr="00C83105">
              <w:rPr>
                <w:rFonts w:eastAsia="Times New Roman"/>
                <w:sz w:val="24"/>
                <w:szCs w:val="24"/>
                <w:lang w:eastAsia="ro-RO"/>
              </w:rPr>
              <w:t>-38</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Rapoarte de inventar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Consultarea rapoartelor privind stocul curent și mișcările de stoc, cu filtrare după perioadă, categorie sau amplasare.</w:t>
            </w:r>
          </w:p>
        </w:tc>
      </w:tr>
      <w:tr w:rsidR="00C74476" w:rsidRPr="00C83105" w:rsidTr="008F447C">
        <w:tc>
          <w:tcPr>
            <w:tcW w:w="4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8F447C" w:rsidP="008F447C">
            <w:pPr>
              <w:spacing w:after="0" w:line="240" w:lineRule="auto"/>
              <w:rPr>
                <w:rFonts w:eastAsia="Times New Roman"/>
                <w:sz w:val="24"/>
                <w:szCs w:val="24"/>
                <w:lang w:eastAsia="ro-RO"/>
              </w:rPr>
            </w:pPr>
            <w:r w:rsidRPr="00C83105">
              <w:rPr>
                <w:rFonts w:eastAsia="Times New Roman"/>
                <w:sz w:val="24"/>
                <w:szCs w:val="24"/>
                <w:lang w:eastAsia="ro-RO"/>
              </w:rPr>
              <w:t>C</w:t>
            </w:r>
            <w:r w:rsidR="00C74476" w:rsidRPr="00C83105">
              <w:rPr>
                <w:rFonts w:eastAsia="Times New Roman"/>
                <w:sz w:val="24"/>
                <w:szCs w:val="24"/>
                <w:lang w:eastAsia="ro-RO"/>
              </w:rPr>
              <w:t>-39</w:t>
            </w:r>
          </w:p>
        </w:tc>
        <w:tc>
          <w:tcPr>
            <w:tcW w:w="103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Evidența opririlor</w:t>
            </w:r>
          </w:p>
        </w:tc>
        <w:tc>
          <w:tcPr>
            <w:tcW w:w="352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C74476" w:rsidRPr="00C83105" w:rsidRDefault="00C74476" w:rsidP="008F447C">
            <w:pPr>
              <w:spacing w:after="0" w:line="240" w:lineRule="auto"/>
              <w:rPr>
                <w:rFonts w:eastAsia="Times New Roman"/>
                <w:sz w:val="24"/>
                <w:szCs w:val="24"/>
                <w:lang w:eastAsia="ro-RO"/>
              </w:rPr>
            </w:pPr>
            <w:r w:rsidRPr="00C83105">
              <w:rPr>
                <w:rFonts w:eastAsia="Times New Roman"/>
                <w:sz w:val="24"/>
                <w:szCs w:val="24"/>
                <w:lang w:eastAsia="ro-RO"/>
              </w:rPr>
              <w:t>Consultarea intervalelor și duratelor de nefuncționare înregistrate pentru fiecare echipament.</w:t>
            </w:r>
          </w:p>
        </w:tc>
      </w:tr>
    </w:tbl>
    <w:p w:rsidR="00C74476" w:rsidRPr="00C83105" w:rsidRDefault="00C74476" w:rsidP="008F447C">
      <w:pPr>
        <w:rPr>
          <w:sz w:val="24"/>
          <w:szCs w:val="24"/>
        </w:rPr>
      </w:pPr>
    </w:p>
    <w:sectPr w:rsidR="00C74476" w:rsidRPr="00C831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6A29" w:rsidRDefault="003D6A29" w:rsidP="00C979E0">
      <w:pPr>
        <w:spacing w:after="0" w:line="240" w:lineRule="auto"/>
      </w:pPr>
      <w:r>
        <w:separator/>
      </w:r>
    </w:p>
  </w:endnote>
  <w:endnote w:type="continuationSeparator" w:id="0">
    <w:p w:rsidR="003D6A29" w:rsidRDefault="003D6A29" w:rsidP="00C97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6A29" w:rsidRDefault="003D6A29" w:rsidP="00C979E0">
      <w:pPr>
        <w:spacing w:after="0" w:line="240" w:lineRule="auto"/>
      </w:pPr>
      <w:r>
        <w:separator/>
      </w:r>
    </w:p>
  </w:footnote>
  <w:footnote w:type="continuationSeparator" w:id="0">
    <w:p w:rsidR="003D6A29" w:rsidRDefault="003D6A29" w:rsidP="00C979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4B4"/>
    <w:rsid w:val="003D6A29"/>
    <w:rsid w:val="004228E5"/>
    <w:rsid w:val="00505B65"/>
    <w:rsid w:val="006554B4"/>
    <w:rsid w:val="008F447C"/>
    <w:rsid w:val="00C74476"/>
    <w:rsid w:val="00C83105"/>
    <w:rsid w:val="00C979E0"/>
    <w:rsid w:val="00DC43C1"/>
    <w:rsid w:val="00DF357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7A5F8-BD5E-4F53-8995-287D52A7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979E0"/>
    <w:pPr>
      <w:spacing w:before="100" w:beforeAutospacing="1" w:after="100" w:afterAutospacing="1" w:line="240" w:lineRule="auto"/>
      <w:outlineLvl w:val="0"/>
    </w:pPr>
    <w:rPr>
      <w:rFonts w:eastAsia="Times New Roman"/>
      <w:b/>
      <w:bCs/>
      <w:kern w:val="36"/>
      <w:sz w:val="48"/>
      <w:szCs w:val="48"/>
      <w:lang w:eastAsia="ro-RO"/>
    </w:rPr>
  </w:style>
  <w:style w:type="paragraph" w:styleId="Heading2">
    <w:name w:val="heading 2"/>
    <w:basedOn w:val="Normal"/>
    <w:link w:val="Heading2Char"/>
    <w:uiPriority w:val="9"/>
    <w:qFormat/>
    <w:rsid w:val="00C979E0"/>
    <w:pPr>
      <w:spacing w:before="100" w:beforeAutospacing="1" w:after="100" w:afterAutospacing="1" w:line="240" w:lineRule="auto"/>
      <w:outlineLvl w:val="1"/>
    </w:pPr>
    <w:rPr>
      <w:rFonts w:eastAsia="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79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9E0"/>
  </w:style>
  <w:style w:type="paragraph" w:styleId="Footer">
    <w:name w:val="footer"/>
    <w:basedOn w:val="Normal"/>
    <w:link w:val="FooterChar"/>
    <w:uiPriority w:val="99"/>
    <w:unhideWhenUsed/>
    <w:rsid w:val="00C979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9E0"/>
  </w:style>
  <w:style w:type="character" w:customStyle="1" w:styleId="Heading1Char">
    <w:name w:val="Heading 1 Char"/>
    <w:basedOn w:val="DefaultParagraphFont"/>
    <w:link w:val="Heading1"/>
    <w:uiPriority w:val="9"/>
    <w:rsid w:val="00C979E0"/>
    <w:rPr>
      <w:rFonts w:eastAsia="Times New Roman"/>
      <w:b/>
      <w:bCs/>
      <w:kern w:val="36"/>
      <w:sz w:val="48"/>
      <w:szCs w:val="48"/>
      <w:lang w:eastAsia="ro-RO"/>
    </w:rPr>
  </w:style>
  <w:style w:type="character" w:customStyle="1" w:styleId="Heading2Char">
    <w:name w:val="Heading 2 Char"/>
    <w:basedOn w:val="DefaultParagraphFont"/>
    <w:link w:val="Heading2"/>
    <w:uiPriority w:val="9"/>
    <w:rsid w:val="00C979E0"/>
    <w:rPr>
      <w:rFonts w:eastAsia="Times New Roman"/>
      <w:b/>
      <w:bCs/>
      <w:sz w:val="36"/>
      <w:szCs w:val="36"/>
      <w:lang w:eastAsia="ro-RO"/>
    </w:rPr>
  </w:style>
  <w:style w:type="character" w:styleId="Strong">
    <w:name w:val="Strong"/>
    <w:basedOn w:val="DefaultParagraphFont"/>
    <w:uiPriority w:val="22"/>
    <w:qFormat/>
    <w:rsid w:val="00C979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715455">
      <w:bodyDiv w:val="1"/>
      <w:marLeft w:val="0"/>
      <w:marRight w:val="0"/>
      <w:marTop w:val="0"/>
      <w:marBottom w:val="0"/>
      <w:divBdr>
        <w:top w:val="none" w:sz="0" w:space="0" w:color="auto"/>
        <w:left w:val="none" w:sz="0" w:space="0" w:color="auto"/>
        <w:bottom w:val="none" w:sz="0" w:space="0" w:color="auto"/>
        <w:right w:val="none" w:sz="0" w:space="0" w:color="auto"/>
      </w:divBdr>
    </w:div>
    <w:div w:id="809321012">
      <w:bodyDiv w:val="1"/>
      <w:marLeft w:val="0"/>
      <w:marRight w:val="0"/>
      <w:marTop w:val="0"/>
      <w:marBottom w:val="0"/>
      <w:divBdr>
        <w:top w:val="none" w:sz="0" w:space="0" w:color="auto"/>
        <w:left w:val="none" w:sz="0" w:space="0" w:color="auto"/>
        <w:bottom w:val="none" w:sz="0" w:space="0" w:color="auto"/>
        <w:right w:val="none" w:sz="0" w:space="0" w:color="auto"/>
      </w:divBdr>
    </w:div>
    <w:div w:id="963343243">
      <w:bodyDiv w:val="1"/>
      <w:marLeft w:val="0"/>
      <w:marRight w:val="0"/>
      <w:marTop w:val="0"/>
      <w:marBottom w:val="0"/>
      <w:divBdr>
        <w:top w:val="none" w:sz="0" w:space="0" w:color="auto"/>
        <w:left w:val="none" w:sz="0" w:space="0" w:color="auto"/>
        <w:bottom w:val="none" w:sz="0" w:space="0" w:color="auto"/>
        <w:right w:val="none" w:sz="0" w:space="0" w:color="auto"/>
      </w:divBdr>
    </w:div>
    <w:div w:id="1669333532">
      <w:bodyDiv w:val="1"/>
      <w:marLeft w:val="0"/>
      <w:marRight w:val="0"/>
      <w:marTop w:val="0"/>
      <w:marBottom w:val="0"/>
      <w:divBdr>
        <w:top w:val="none" w:sz="0" w:space="0" w:color="auto"/>
        <w:left w:val="none" w:sz="0" w:space="0" w:color="auto"/>
        <w:bottom w:val="none" w:sz="0" w:space="0" w:color="auto"/>
        <w:right w:val="none" w:sz="0" w:space="0" w:color="auto"/>
      </w:divBdr>
    </w:div>
    <w:div w:id="1721202340">
      <w:bodyDiv w:val="1"/>
      <w:marLeft w:val="0"/>
      <w:marRight w:val="0"/>
      <w:marTop w:val="0"/>
      <w:marBottom w:val="0"/>
      <w:divBdr>
        <w:top w:val="none" w:sz="0" w:space="0" w:color="auto"/>
        <w:left w:val="none" w:sz="0" w:space="0" w:color="auto"/>
        <w:bottom w:val="none" w:sz="0" w:space="0" w:color="auto"/>
        <w:right w:val="none" w:sz="0" w:space="0" w:color="auto"/>
      </w:divBdr>
      <w:divsChild>
        <w:div w:id="2100129496">
          <w:marLeft w:val="0"/>
          <w:marRight w:val="0"/>
          <w:marTop w:val="0"/>
          <w:marBottom w:val="0"/>
          <w:divBdr>
            <w:top w:val="none" w:sz="0" w:space="0" w:color="auto"/>
            <w:left w:val="none" w:sz="0" w:space="0" w:color="auto"/>
            <w:bottom w:val="none" w:sz="0" w:space="0" w:color="auto"/>
            <w:right w:val="none" w:sz="0" w:space="0" w:color="auto"/>
          </w:divBdr>
          <w:divsChild>
            <w:div w:id="558595137">
              <w:marLeft w:val="0"/>
              <w:marRight w:val="0"/>
              <w:marTop w:val="0"/>
              <w:marBottom w:val="0"/>
              <w:divBdr>
                <w:top w:val="none" w:sz="0" w:space="0" w:color="auto"/>
                <w:left w:val="none" w:sz="0" w:space="0" w:color="auto"/>
                <w:bottom w:val="none" w:sz="0" w:space="0" w:color="auto"/>
                <w:right w:val="none" w:sz="0" w:space="0" w:color="auto"/>
              </w:divBdr>
            </w:div>
          </w:divsChild>
        </w:div>
        <w:div w:id="1982541292">
          <w:marLeft w:val="0"/>
          <w:marRight w:val="0"/>
          <w:marTop w:val="0"/>
          <w:marBottom w:val="0"/>
          <w:divBdr>
            <w:top w:val="none" w:sz="0" w:space="0" w:color="auto"/>
            <w:left w:val="none" w:sz="0" w:space="0" w:color="auto"/>
            <w:bottom w:val="none" w:sz="0" w:space="0" w:color="auto"/>
            <w:right w:val="none" w:sz="0" w:space="0" w:color="auto"/>
          </w:divBdr>
          <w:divsChild>
            <w:div w:id="1849447623">
              <w:marLeft w:val="0"/>
              <w:marRight w:val="0"/>
              <w:marTop w:val="0"/>
              <w:marBottom w:val="0"/>
              <w:divBdr>
                <w:top w:val="none" w:sz="0" w:space="0" w:color="auto"/>
                <w:left w:val="none" w:sz="0" w:space="0" w:color="auto"/>
                <w:bottom w:val="none" w:sz="0" w:space="0" w:color="auto"/>
                <w:right w:val="none" w:sz="0" w:space="0" w:color="auto"/>
              </w:divBdr>
            </w:div>
          </w:divsChild>
        </w:div>
        <w:div w:id="1006323087">
          <w:marLeft w:val="0"/>
          <w:marRight w:val="0"/>
          <w:marTop w:val="0"/>
          <w:marBottom w:val="0"/>
          <w:divBdr>
            <w:top w:val="none" w:sz="0" w:space="0" w:color="auto"/>
            <w:left w:val="none" w:sz="0" w:space="0" w:color="auto"/>
            <w:bottom w:val="none" w:sz="0" w:space="0" w:color="auto"/>
            <w:right w:val="none" w:sz="0" w:space="0" w:color="auto"/>
          </w:divBdr>
          <w:divsChild>
            <w:div w:id="1684668694">
              <w:marLeft w:val="0"/>
              <w:marRight w:val="0"/>
              <w:marTop w:val="0"/>
              <w:marBottom w:val="0"/>
              <w:divBdr>
                <w:top w:val="none" w:sz="0" w:space="0" w:color="auto"/>
                <w:left w:val="none" w:sz="0" w:space="0" w:color="auto"/>
                <w:bottom w:val="none" w:sz="0" w:space="0" w:color="auto"/>
                <w:right w:val="none" w:sz="0" w:space="0" w:color="auto"/>
              </w:divBdr>
            </w:div>
          </w:divsChild>
        </w:div>
        <w:div w:id="337463871">
          <w:marLeft w:val="0"/>
          <w:marRight w:val="0"/>
          <w:marTop w:val="0"/>
          <w:marBottom w:val="0"/>
          <w:divBdr>
            <w:top w:val="none" w:sz="0" w:space="0" w:color="auto"/>
            <w:left w:val="none" w:sz="0" w:space="0" w:color="auto"/>
            <w:bottom w:val="none" w:sz="0" w:space="0" w:color="auto"/>
            <w:right w:val="none" w:sz="0" w:space="0" w:color="auto"/>
          </w:divBdr>
          <w:divsChild>
            <w:div w:id="1662614397">
              <w:marLeft w:val="0"/>
              <w:marRight w:val="0"/>
              <w:marTop w:val="0"/>
              <w:marBottom w:val="0"/>
              <w:divBdr>
                <w:top w:val="none" w:sz="0" w:space="0" w:color="auto"/>
                <w:left w:val="none" w:sz="0" w:space="0" w:color="auto"/>
                <w:bottom w:val="none" w:sz="0" w:space="0" w:color="auto"/>
                <w:right w:val="none" w:sz="0" w:space="0" w:color="auto"/>
              </w:divBdr>
            </w:div>
          </w:divsChild>
        </w:div>
        <w:div w:id="1362051899">
          <w:marLeft w:val="0"/>
          <w:marRight w:val="0"/>
          <w:marTop w:val="0"/>
          <w:marBottom w:val="0"/>
          <w:divBdr>
            <w:top w:val="none" w:sz="0" w:space="0" w:color="auto"/>
            <w:left w:val="none" w:sz="0" w:space="0" w:color="auto"/>
            <w:bottom w:val="none" w:sz="0" w:space="0" w:color="auto"/>
            <w:right w:val="none" w:sz="0" w:space="0" w:color="auto"/>
          </w:divBdr>
          <w:divsChild>
            <w:div w:id="584805289">
              <w:marLeft w:val="0"/>
              <w:marRight w:val="0"/>
              <w:marTop w:val="0"/>
              <w:marBottom w:val="0"/>
              <w:divBdr>
                <w:top w:val="none" w:sz="0" w:space="0" w:color="auto"/>
                <w:left w:val="none" w:sz="0" w:space="0" w:color="auto"/>
                <w:bottom w:val="none" w:sz="0" w:space="0" w:color="auto"/>
                <w:right w:val="none" w:sz="0" w:space="0" w:color="auto"/>
              </w:divBdr>
            </w:div>
          </w:divsChild>
        </w:div>
        <w:div w:id="1635451308">
          <w:marLeft w:val="0"/>
          <w:marRight w:val="0"/>
          <w:marTop w:val="0"/>
          <w:marBottom w:val="0"/>
          <w:divBdr>
            <w:top w:val="none" w:sz="0" w:space="0" w:color="auto"/>
            <w:left w:val="none" w:sz="0" w:space="0" w:color="auto"/>
            <w:bottom w:val="none" w:sz="0" w:space="0" w:color="auto"/>
            <w:right w:val="none" w:sz="0" w:space="0" w:color="auto"/>
          </w:divBdr>
          <w:divsChild>
            <w:div w:id="1208682042">
              <w:marLeft w:val="0"/>
              <w:marRight w:val="0"/>
              <w:marTop w:val="0"/>
              <w:marBottom w:val="0"/>
              <w:divBdr>
                <w:top w:val="none" w:sz="0" w:space="0" w:color="auto"/>
                <w:left w:val="none" w:sz="0" w:space="0" w:color="auto"/>
                <w:bottom w:val="none" w:sz="0" w:space="0" w:color="auto"/>
                <w:right w:val="none" w:sz="0" w:space="0" w:color="auto"/>
              </w:divBdr>
            </w:div>
          </w:divsChild>
        </w:div>
        <w:div w:id="1987514272">
          <w:marLeft w:val="0"/>
          <w:marRight w:val="0"/>
          <w:marTop w:val="0"/>
          <w:marBottom w:val="0"/>
          <w:divBdr>
            <w:top w:val="none" w:sz="0" w:space="0" w:color="auto"/>
            <w:left w:val="none" w:sz="0" w:space="0" w:color="auto"/>
            <w:bottom w:val="none" w:sz="0" w:space="0" w:color="auto"/>
            <w:right w:val="none" w:sz="0" w:space="0" w:color="auto"/>
          </w:divBdr>
          <w:divsChild>
            <w:div w:id="640379377">
              <w:marLeft w:val="0"/>
              <w:marRight w:val="0"/>
              <w:marTop w:val="0"/>
              <w:marBottom w:val="0"/>
              <w:divBdr>
                <w:top w:val="none" w:sz="0" w:space="0" w:color="auto"/>
                <w:left w:val="none" w:sz="0" w:space="0" w:color="auto"/>
                <w:bottom w:val="none" w:sz="0" w:space="0" w:color="auto"/>
                <w:right w:val="none" w:sz="0" w:space="0" w:color="auto"/>
              </w:divBdr>
            </w:div>
          </w:divsChild>
        </w:div>
        <w:div w:id="2073456627">
          <w:marLeft w:val="0"/>
          <w:marRight w:val="0"/>
          <w:marTop w:val="0"/>
          <w:marBottom w:val="0"/>
          <w:divBdr>
            <w:top w:val="none" w:sz="0" w:space="0" w:color="auto"/>
            <w:left w:val="none" w:sz="0" w:space="0" w:color="auto"/>
            <w:bottom w:val="none" w:sz="0" w:space="0" w:color="auto"/>
            <w:right w:val="none" w:sz="0" w:space="0" w:color="auto"/>
          </w:divBdr>
          <w:divsChild>
            <w:div w:id="954870940">
              <w:marLeft w:val="0"/>
              <w:marRight w:val="0"/>
              <w:marTop w:val="0"/>
              <w:marBottom w:val="0"/>
              <w:divBdr>
                <w:top w:val="none" w:sz="0" w:space="0" w:color="auto"/>
                <w:left w:val="none" w:sz="0" w:space="0" w:color="auto"/>
                <w:bottom w:val="none" w:sz="0" w:space="0" w:color="auto"/>
                <w:right w:val="none" w:sz="0" w:space="0" w:color="auto"/>
              </w:divBdr>
            </w:div>
          </w:divsChild>
        </w:div>
        <w:div w:id="788744364">
          <w:marLeft w:val="0"/>
          <w:marRight w:val="0"/>
          <w:marTop w:val="0"/>
          <w:marBottom w:val="0"/>
          <w:divBdr>
            <w:top w:val="none" w:sz="0" w:space="0" w:color="auto"/>
            <w:left w:val="none" w:sz="0" w:space="0" w:color="auto"/>
            <w:bottom w:val="none" w:sz="0" w:space="0" w:color="auto"/>
            <w:right w:val="none" w:sz="0" w:space="0" w:color="auto"/>
          </w:divBdr>
          <w:divsChild>
            <w:div w:id="1771705413">
              <w:marLeft w:val="0"/>
              <w:marRight w:val="0"/>
              <w:marTop w:val="0"/>
              <w:marBottom w:val="0"/>
              <w:divBdr>
                <w:top w:val="none" w:sz="0" w:space="0" w:color="auto"/>
                <w:left w:val="none" w:sz="0" w:space="0" w:color="auto"/>
                <w:bottom w:val="none" w:sz="0" w:space="0" w:color="auto"/>
                <w:right w:val="none" w:sz="0" w:space="0" w:color="auto"/>
              </w:divBdr>
            </w:div>
          </w:divsChild>
        </w:div>
        <w:div w:id="1336878769">
          <w:marLeft w:val="0"/>
          <w:marRight w:val="0"/>
          <w:marTop w:val="0"/>
          <w:marBottom w:val="0"/>
          <w:divBdr>
            <w:top w:val="none" w:sz="0" w:space="0" w:color="auto"/>
            <w:left w:val="none" w:sz="0" w:space="0" w:color="auto"/>
            <w:bottom w:val="none" w:sz="0" w:space="0" w:color="auto"/>
            <w:right w:val="none" w:sz="0" w:space="0" w:color="auto"/>
          </w:divBdr>
          <w:divsChild>
            <w:div w:id="9746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1093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2026-10-30T18:11:00Z</dcterms:created>
  <dcterms:modified xsi:type="dcterms:W3CDTF">2026-10-31T08:53:00Z</dcterms:modified>
</cp:coreProperties>
</file>