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9E0" w:rsidRPr="00C74476" w:rsidRDefault="00C979E0">
      <w:pPr>
        <w:rPr>
          <w:sz w:val="24"/>
          <w:szCs w:val="24"/>
        </w:rPr>
      </w:pPr>
    </w:p>
    <w:p w:rsidR="00C979E0" w:rsidRPr="00C74476" w:rsidRDefault="00C979E0">
      <w:pPr>
        <w:rPr>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843"/>
        <w:gridCol w:w="8167"/>
      </w:tblGrid>
      <w:tr w:rsidR="00C979E0" w:rsidRPr="00C979E0" w:rsidTr="00C979E0">
        <w:trPr>
          <w:tblHeader/>
        </w:trPr>
        <w:tc>
          <w:tcPr>
            <w:tcW w:w="4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b/>
                <w:bCs/>
                <w:sz w:val="24"/>
                <w:szCs w:val="24"/>
                <w:lang w:eastAsia="ro-RO"/>
              </w:rPr>
            </w:pPr>
            <w:r w:rsidRPr="00C979E0">
              <w:rPr>
                <w:rFonts w:eastAsia="Times New Roman"/>
                <w:b/>
                <w:bCs/>
                <w:sz w:val="24"/>
                <w:szCs w:val="24"/>
                <w:lang w:eastAsia="ro-RO"/>
              </w:rPr>
              <w:t>ID</w:t>
            </w:r>
          </w:p>
        </w:tc>
        <w:tc>
          <w:tcPr>
            <w:tcW w:w="453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b/>
                <w:bCs/>
                <w:sz w:val="24"/>
                <w:szCs w:val="24"/>
                <w:lang w:eastAsia="ro-RO"/>
              </w:rPr>
            </w:pPr>
            <w:r w:rsidRPr="00C979E0">
              <w:rPr>
                <w:rFonts w:eastAsia="Times New Roman"/>
                <w:b/>
                <w:bCs/>
                <w:sz w:val="24"/>
                <w:szCs w:val="24"/>
                <w:lang w:eastAsia="ro-RO"/>
              </w:rPr>
              <w:t>Cerință</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C-01</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Aplicația trebuie să fie accesibilă printr-un browser web și să ofere o interfață simplă pentru operatori, personalul de mentenanță și personalul de logistică.</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C-02</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Accesul la aplicație trebuie realizat prin autentificare, cu drepturi de consultare și modificare acordate în funcție de rolul utilizatorului.</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C-03</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Aplicația trebuie să permită administrarea catalogului de piese de schimb prin adăugarea, modificarea, arhivarea și consultarea articolelor, cu cod unic, denumire, categorie, unitate de măsură și descriere opțională.</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C-04</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Pentru fiecare articol, aplicația trebuie să evidențieze cantitățile existente și amplasarea acestora în depozit, inclusiv rotomatul și poziția de depozitare.</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C-05</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Inventarul trebuie să diferențieze piesele utilizabile, defecte și de verificat și să afișeze separat cantitatea totală și cantitatea disponibilă pentru intervenții. Numai piesele utilizabile trebuie considerate disponibile.</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C-06</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Personalul de mentenanță trebuie să poată căuta piesele după cod sau denumire și să consulte starea, cantitatea și amplasarea acestora.</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C-07</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Aplicația trebuie să permită înregistrarea recepțiilor, eliberărilor și corecțiilor de stoc, cu identificarea piesei, cantității, datei, motivului și utilizatorului. La recepție trebuie să poată fi menționate furnizorul și documentul aferent.</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C-08</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Stocul trebuie actualizat automat după fiecare mișcare, iar eliberarea unei cantități mai mari decât cea utilizabilă disponibilă trebuie blocată.</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C-09</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Piesele folosite pentru reparații trebuie asociate intervenției și echipamentului pentru care au fost eliberate.</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C-10</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Șeful mentenanței, cu rol de administrator, trebuie să poată actualiza starea pieselor și să înregistreze eliminarea celor defecte sau incomplete. Până la eliminare, acestea trebuie să rămână în evidență, fără a fi disponibile pentru intervenții.</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C-11</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Piesele demontate din utilaje și constatate defecte nu trebuie reintroduse în inventar. Piesele care pot fi reutilizate trebuie să poată fi reintroduse manual numai de administrator, ca utilizabile sau de verificat.</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C-12</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Aplicația trebuie să permită stabilirea unor praguri minime de stoc și semnalarea articolelor ajunse la prag sau sub acesta.</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C-13</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Aplicația trebuie să permită consultarea istoricului pieselor și a rapoartelor privind stocul curent și mișcările de stoc, după perioadă, categorie sau amplasare.</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lastRenderedPageBreak/>
              <w:t>C-14</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Echipamentele trebuie să fie identificabile în aplicație și reprezentate pe o hartă digitală conform poziției lor în hală. Harta trebuie să poată fi afișată pe un monitor dedicat.</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C-15</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Operatorii trebuie să poată raporta problemele echipamentelor prin selectarea utilajului și descrierea problemei. Sesizările trebuie să fie vizibile personalului de mentenanță într-o listă și pe hartă.</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C-16</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Șeful mentenanței trebuie să poată configura prioritatea fiecărui echipament de la 1 la 3, unde 1 este prioritatea cea mai ridicată. Sesizările trebuie să preia automat prioritatea echipamentului.</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C-17</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Membrii echipei de mentenanță trebuie să poată prelua voluntar sesizările, fără repartizare obligatorie de către un superior. Aplicația trebuie să afișeze responsabilul și momentul preluării.</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C-18</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O intervenție preluată trebuie să rămână vizibilă întregii echipe. Mai mulți mecanici trebuie să poată colabora la aceeași intervenție și să poată preda responsabilitatea unui coleg, fără restricții în aplicație bazate pe grupul de mentenanță.</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C-19</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Harta trebuie să diferențieze vizual sesizările nepreluate prin roșu, intervențiile în lucru prin galben și echipamentele confirmate ca funcționale prin verde.</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C-20</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Personalul de mentenanță trebuie să poată consemna constatările, lucrările efectuate, piesele înlocuite sau utilizate și rezultatul intervenției. Istoricul trebuie să poată fi consultat pentru fiecare echipament.</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C-21</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Operatorii trebuie să poată înregistra data și ora efectivă a opririi utilajului și a reluării producției, cu precizie până la secundă. Aplicația trebuie să calculeze durata de nefuncționare pe baza acestor momente, distinct de momentul raportării sau al preluării sesizării.</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C-22</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Personalul de logistică trebuie să poată înregistra și actualiza comenzile de producție și să le asocieze echipamentelor sau stațiilor de lucru.</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C-23</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Operatorii trebuie să poată consulta comanda activă a echipamentului și informațiile necesare executării acesteia, inclusiv numărul comenzii, produsul, cantitatea planificată, materialul și culoarea.</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C-24</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Operatorii trebuie să poată confirma efectuarea verificărilor de pregătire pentru producție. Aplicația trebuie să păstreze persoana, echipamentul, comanda și momentul confirmării. Lista exactă a verificărilor urmează să fie stabilită împreună cu echipa proiectului.</w:t>
            </w:r>
          </w:p>
        </w:tc>
      </w:tr>
      <w:tr w:rsidR="00C979E0" w:rsidRPr="00C979E0" w:rsidTr="00C979E0">
        <w:tc>
          <w:tcPr>
            <w:tcW w:w="4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C-25</w:t>
            </w:r>
          </w:p>
        </w:tc>
        <w:tc>
          <w:tcPr>
            <w:tcW w:w="453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979E0" w:rsidRPr="00C979E0" w:rsidRDefault="00C979E0" w:rsidP="00C979E0">
            <w:pPr>
              <w:spacing w:after="0" w:line="240" w:lineRule="auto"/>
              <w:rPr>
                <w:rFonts w:eastAsia="Times New Roman"/>
                <w:sz w:val="24"/>
                <w:szCs w:val="24"/>
                <w:lang w:eastAsia="ro-RO"/>
              </w:rPr>
            </w:pPr>
            <w:r w:rsidRPr="00C979E0">
              <w:rPr>
                <w:rFonts w:eastAsia="Times New Roman"/>
                <w:sz w:val="24"/>
                <w:szCs w:val="24"/>
                <w:lang w:eastAsia="ro-RO"/>
              </w:rPr>
              <w:t>Modificările de inventar, operațiile asupra intervențiilor și confirmările de producție trebuie să rămână identificabile în istoric, inclusiv după eliminarea unei piese din stoc.</w:t>
            </w:r>
          </w:p>
        </w:tc>
      </w:tr>
    </w:tbl>
    <w:p w:rsidR="00505B65" w:rsidRPr="00C74476" w:rsidRDefault="00C74476">
      <w:pPr>
        <w:rPr>
          <w:sz w:val="24"/>
          <w:szCs w:val="24"/>
        </w:rPr>
      </w:pPr>
      <w:r w:rsidRPr="00C74476">
        <w:rPr>
          <w:sz w:val="24"/>
          <w:szCs w:val="24"/>
        </w:rPr>
        <w:lastRenderedPageBreak/>
        <w:t xml:space="preserve">Cerinte functionale </w:t>
      </w:r>
    </w:p>
    <w:p w:rsidR="00C74476" w:rsidRPr="00C74476" w:rsidRDefault="00C74476">
      <w:pPr>
        <w:rPr>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667"/>
        <w:gridCol w:w="2032"/>
        <w:gridCol w:w="6311"/>
      </w:tblGrid>
      <w:tr w:rsidR="00C74476" w:rsidRPr="00C74476" w:rsidTr="00C7447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b/>
                <w:bCs/>
                <w:sz w:val="24"/>
                <w:szCs w:val="24"/>
                <w:lang w:eastAsia="ro-RO"/>
              </w:rPr>
            </w:pPr>
            <w:r w:rsidRPr="00C74476">
              <w:rPr>
                <w:rFonts w:eastAsia="Times New Roman"/>
                <w:b/>
                <w:bCs/>
                <w:sz w:val="24"/>
                <w:szCs w:val="24"/>
                <w:lang w:eastAsia="ro-RO"/>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b/>
                <w:bCs/>
                <w:sz w:val="24"/>
                <w:szCs w:val="24"/>
                <w:lang w:eastAsia="ro-RO"/>
              </w:rPr>
            </w:pPr>
            <w:r w:rsidRPr="00C74476">
              <w:rPr>
                <w:rFonts w:eastAsia="Times New Roman"/>
                <w:b/>
                <w:bCs/>
                <w:sz w:val="24"/>
                <w:szCs w:val="24"/>
                <w:lang w:eastAsia="ro-RO"/>
              </w:rPr>
              <w:t>Modul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b/>
                <w:bCs/>
                <w:sz w:val="24"/>
                <w:szCs w:val="24"/>
                <w:lang w:eastAsia="ro-RO"/>
              </w:rPr>
            </w:pPr>
            <w:r w:rsidRPr="00C74476">
              <w:rPr>
                <w:rFonts w:eastAsia="Times New Roman"/>
                <w:b/>
                <w:bCs/>
                <w:sz w:val="24"/>
                <w:szCs w:val="24"/>
                <w:lang w:eastAsia="ro-RO"/>
              </w:rPr>
              <w:t>Cerință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Utilizatori și acces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Autentificarea utilizatorilor și acordarea drepturilor de consultare sau modificare în funcție de rol: operator de producție, personal de mentenanță, personal de logistică și administrator — șeful mentenanței.</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Catalog de piese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Adăugarea, editarea, arhivarea și consultarea pieselor de schimb, cu cod unic, denumire, categorie, unitate de măsură și descriere opțională.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Amplasarea pieselor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și consultarea amplasării pieselor în depozit, inclusiv identificarea rotomatului și a poziției de depozitare.</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Starea pieselor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Evidența cantităților de piese în funcție de starea acestora: utilizabile, defecte, incomplete sau de verificat.</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Disponibilitatea pieselor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Afișarea distinctă a cantității totale existente în depozit și a cantității disponibile pentru intervenții. Numai piesele utilizabile vor fi considerate disponibile.</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Căutare și filtrare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Căutarea pieselor după cod sau denumire și filtrarea acestora după categorie, amplasare și stare.</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Mișcări de stoc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recepțiilor, eliberărilor și corecțiilor de stoc, cu piesă, cantitate, dată, motiv și utilizator. La recepție se vor putea menționa opțional furnizorul și documentul aferent.</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Validarea cantităților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Actualizarea automată a stocului după fiecare mișcare și blocarea eliberărilor care depășesc cantitatea utilizabilă disponibilă.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Consumul pentru intervenții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Asocierea pieselor eliberate cu intervenția și echipamentul pentru care sunt utilizate.</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Actualizarea stării pieselor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Modificarea stării pieselor din inventar de către administrator, cu păstrarea în istoric a stării anterioare, a celei noi, a datei și a utilizatorului responsabil.</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Piese neutilizabile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Păstrarea în evidență a pieselor din depozit identificate ca defecte sau incomplete până la înregistrarea eliminării lor, fără includerea acestora în cantitatea disponibilă pentru intervenții.</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Eliminarea pieselor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scoaterii definitive a pieselor din inventar de către administrator, cu piesă, cantitate, motiv, dată și utilizator responsabil, fără ștergerea istoricului anterior.</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lastRenderedPageBreak/>
              <w:t>RF-13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Piese demontate defecte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Consemnarea în intervenție a pieselor demontate și constatate defecte, fără reintroducerea acestora în inventar.</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Reintroducerea pieselor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Reintroducerea manuală în inventar a pieselor demontate care pot fi reutilizate, exclusiv de către administrator, în starea „utilizabilă” sau „de verificat”.</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Istoricul pieselor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Consultarea istoricului mișcărilor de stoc și al schimbărilor de stare pentru fiecare articol.</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Evidența echipamentelor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și consultarea echipamentelor, cu identificator, denumire sau tip, hală și stație</w:t>
            </w:r>
            <w:r>
              <w:rPr>
                <w:rFonts w:eastAsia="Times New Roman"/>
                <w:sz w:val="24"/>
                <w:szCs w:val="24"/>
                <w:lang w:eastAsia="ro-RO"/>
              </w:rPr>
              <w:t>.</w:t>
            </w:r>
            <w:bookmarkStart w:id="0" w:name="_GoBack"/>
            <w:bookmarkEnd w:id="0"/>
            <w:r w:rsidRPr="00C74476">
              <w:rPr>
                <w:rFonts w:eastAsia="Times New Roman"/>
                <w:sz w:val="24"/>
                <w:szCs w:val="24"/>
                <w:lang w:eastAsia="ro-RO"/>
              </w:rPr>
              <w:t>.</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Hartă digitală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Afișarea echipamentelor pe o hartă digitală, conform poziției lor în hală, cu posibilitatea consultării hărții pe un monitor dedicat.</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Semnalizare vizuală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Semnalizarea pe hartă a sesizărilor nepreluate prin roșu, a intervențiilor în lucru prin galben și a echipamentelor confirmate ca funcționale prin verde.</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Detalii pe hartă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Consultarea sesizării, a stadiului intervenției și a echipamentului de pe hartă.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Raportarea problemelor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sesizărilor de către operatori prin identificarea echipamentului și descrierea problemei observate, cu păstrarea utilizatorului și a momentului raportării.</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Vizibilitatea sesizărilor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Afișarea sesizărilor către personalul de mentenanță atât într-o listă, cât și pe harta digitală.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Configurarea priorităților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Configurarea priorității fiecărui echipament de către administrator, pe o scară de la 1 la 3, unde 1 reprezintă prioritatea cea mai ridicată, iar 3 cea mai scăzută.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Prioritatea sesizărilor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Preluarea automată, la înregistrarea unei sesizări, a priorității configurate pentru echipamentul respectiv și afișarea acesteia personalului de mentenanță.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Preluarea intervențiilor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Preluarea voluntară a sesizărilor de către membrii echipei de mentenanță, fără repartizare obligatorie de către un superior, cu înregistrarea responsabilului și a momentului preluării.</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Vizibilitatea intervențiilor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Păstrarea sesizărilor preluate în lista vizibilă întregii echipe, cu afișarea stadiului intervenției și a responsabilului curent.</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lastRenderedPageBreak/>
              <w:t>RF-26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Colaborare și predare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Participarea mai multor mecanici la aceeași intervenție și predarea responsabilității către un coleg, cu păstrarea istoricului participanților și al schimbărilor de responsabil.</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Acces între grupuri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Posibilitatea preluării sesizărilor și participării la intervenții fără restricții în aplicație bazate pe apartenența la un grup de mentenanță.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Evidența intervenției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constatărilor, a lucrărilor efectuate, a pieselor înlocuite sau utilizate și a rezultatului intervenției de către personalul de mentenanță.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Istoricul echipamentelor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Consultarea istoricului sesizărilor și intervențiilor pentru fiecare echipament, inclusiv a mecanicilor implicați și a pieselor utilizate.</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Oprire și reluare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de către operator a datei și orei efective a opririi echipamentului și a reluării producției, cu precizie până la secundă.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Durata nefuncționării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Calcularea automată a duratei de nefuncționare pe baza momentelor efective ale opririi și reluării producției.</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Evidența momentelor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Păstrarea distinctă a momentelor opririi, raportării sesizării, preluării intervenției și reluării producției. Finalizarea intervenției nu va fi considerată automat reluare a producției.</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Administrarea comenzilor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și actualizarea comenzilor de producție și a informațiilor necesare executării acestora de către personalul de logistică.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Asocierea comenzilor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Asocierea comenzilor cu echipamentele sau stațiile de lucru și identificarea comenzii active pentru fiecare echipament.</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Consultarea comenzii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Afișarea pentru operator a parametrilor comenzii asociate echipamentului, inclusiv numărul comenzii, produsul sau reperul, cantitatea planificată, materialul și culoarea necesară.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Confirmarea pregătirii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Înregistrarea confirmării operatorului privind efectuarea verificărilor de pregătire pentru producție, cu păstrarea utilizatorului, echipamentului, comenzii și datei și orei confirmării. Lista exactă a verificărilor urmează să fie stabilită.</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Alerte de stoc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Stabilirea unui prag minim pentru fiecare articol și semnalarea pieselor ajunse la acest prag sau sub el.</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RF-38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Rapoarte de inventar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Consultarea rapoartelor privind stocul curent și mișcările de stoc, cu filtrare după perioadă, categorie sau amplasare.</w:t>
            </w:r>
          </w:p>
        </w:tc>
      </w:tr>
      <w:tr w:rsidR="00C74476" w:rsidRPr="00C74476" w:rsidTr="00C7447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lastRenderedPageBreak/>
              <w:t>RF-39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Evidența opririlor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74476" w:rsidRDefault="00C74476" w:rsidP="00C74476">
            <w:pPr>
              <w:spacing w:after="0" w:line="240" w:lineRule="auto"/>
              <w:rPr>
                <w:rFonts w:eastAsia="Times New Roman"/>
                <w:sz w:val="24"/>
                <w:szCs w:val="24"/>
                <w:lang w:eastAsia="ro-RO"/>
              </w:rPr>
            </w:pPr>
            <w:r w:rsidRPr="00C74476">
              <w:rPr>
                <w:rFonts w:eastAsia="Times New Roman"/>
                <w:sz w:val="24"/>
                <w:szCs w:val="24"/>
                <w:lang w:eastAsia="ro-RO"/>
              </w:rPr>
              <w:t>Consultarea intervalelor și duratelor de nefuncționare înregistrate pentru fiecare echipament.</w:t>
            </w:r>
          </w:p>
        </w:tc>
      </w:tr>
    </w:tbl>
    <w:p w:rsidR="00C74476" w:rsidRPr="00C74476" w:rsidRDefault="00C74476">
      <w:pPr>
        <w:rPr>
          <w:sz w:val="24"/>
          <w:szCs w:val="24"/>
        </w:rPr>
      </w:pPr>
    </w:p>
    <w:p w:rsidR="00C74476" w:rsidRPr="00C74476" w:rsidRDefault="00C74476">
      <w:pPr>
        <w:rPr>
          <w:sz w:val="24"/>
          <w:szCs w:val="24"/>
        </w:rPr>
      </w:pPr>
    </w:p>
    <w:p w:rsidR="00C74476" w:rsidRPr="00C74476" w:rsidRDefault="00C74476">
      <w:pPr>
        <w:rPr>
          <w:sz w:val="24"/>
          <w:szCs w:val="24"/>
        </w:rPr>
      </w:pPr>
    </w:p>
    <w:p w:rsidR="00C74476" w:rsidRPr="00C74476" w:rsidRDefault="00C74476">
      <w:pPr>
        <w:rPr>
          <w:sz w:val="24"/>
          <w:szCs w:val="24"/>
        </w:rPr>
      </w:pPr>
    </w:p>
    <w:sectPr w:rsidR="00C74476" w:rsidRPr="00C744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3576" w:rsidRDefault="00DF3576" w:rsidP="00C979E0">
      <w:pPr>
        <w:spacing w:after="0" w:line="240" w:lineRule="auto"/>
      </w:pPr>
      <w:r>
        <w:separator/>
      </w:r>
    </w:p>
  </w:endnote>
  <w:endnote w:type="continuationSeparator" w:id="0">
    <w:p w:rsidR="00DF3576" w:rsidRDefault="00DF3576" w:rsidP="00C9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3576" w:rsidRDefault="00DF3576" w:rsidP="00C979E0">
      <w:pPr>
        <w:spacing w:after="0" w:line="240" w:lineRule="auto"/>
      </w:pPr>
      <w:r>
        <w:separator/>
      </w:r>
    </w:p>
  </w:footnote>
  <w:footnote w:type="continuationSeparator" w:id="0">
    <w:p w:rsidR="00DF3576" w:rsidRDefault="00DF3576" w:rsidP="00C979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4B4"/>
    <w:rsid w:val="00505B65"/>
    <w:rsid w:val="006554B4"/>
    <w:rsid w:val="00C74476"/>
    <w:rsid w:val="00C979E0"/>
    <w:rsid w:val="00DF357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7A5F8-BD5E-4F53-8995-287D52A7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79E0"/>
    <w:pPr>
      <w:spacing w:before="100" w:beforeAutospacing="1" w:after="100" w:afterAutospacing="1" w:line="240" w:lineRule="auto"/>
      <w:outlineLvl w:val="0"/>
    </w:pPr>
    <w:rPr>
      <w:rFonts w:eastAsia="Times New Roman"/>
      <w:b/>
      <w:bCs/>
      <w:kern w:val="36"/>
      <w:sz w:val="48"/>
      <w:szCs w:val="48"/>
      <w:lang w:eastAsia="ro-RO"/>
    </w:rPr>
  </w:style>
  <w:style w:type="paragraph" w:styleId="Heading2">
    <w:name w:val="heading 2"/>
    <w:basedOn w:val="Normal"/>
    <w:link w:val="Heading2Char"/>
    <w:uiPriority w:val="9"/>
    <w:qFormat/>
    <w:rsid w:val="00C979E0"/>
    <w:pPr>
      <w:spacing w:before="100" w:beforeAutospacing="1" w:after="100" w:afterAutospacing="1" w:line="240" w:lineRule="auto"/>
      <w:outlineLvl w:val="1"/>
    </w:pPr>
    <w:rPr>
      <w:rFonts w:eastAsia="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9E0"/>
  </w:style>
  <w:style w:type="paragraph" w:styleId="Footer">
    <w:name w:val="footer"/>
    <w:basedOn w:val="Normal"/>
    <w:link w:val="FooterChar"/>
    <w:uiPriority w:val="99"/>
    <w:unhideWhenUsed/>
    <w:rsid w:val="00C97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9E0"/>
  </w:style>
  <w:style w:type="character" w:customStyle="1" w:styleId="Heading1Char">
    <w:name w:val="Heading 1 Char"/>
    <w:basedOn w:val="DefaultParagraphFont"/>
    <w:link w:val="Heading1"/>
    <w:uiPriority w:val="9"/>
    <w:rsid w:val="00C979E0"/>
    <w:rPr>
      <w:rFonts w:eastAsia="Times New Roman"/>
      <w:b/>
      <w:bCs/>
      <w:kern w:val="36"/>
      <w:sz w:val="48"/>
      <w:szCs w:val="48"/>
      <w:lang w:eastAsia="ro-RO"/>
    </w:rPr>
  </w:style>
  <w:style w:type="character" w:customStyle="1" w:styleId="Heading2Char">
    <w:name w:val="Heading 2 Char"/>
    <w:basedOn w:val="DefaultParagraphFont"/>
    <w:link w:val="Heading2"/>
    <w:uiPriority w:val="9"/>
    <w:rsid w:val="00C979E0"/>
    <w:rPr>
      <w:rFonts w:eastAsia="Times New Roman"/>
      <w:b/>
      <w:bCs/>
      <w:sz w:val="36"/>
      <w:szCs w:val="36"/>
      <w:lang w:eastAsia="ro-RO"/>
    </w:rPr>
  </w:style>
  <w:style w:type="character" w:styleId="Strong">
    <w:name w:val="Strong"/>
    <w:basedOn w:val="DefaultParagraphFont"/>
    <w:uiPriority w:val="22"/>
    <w:qFormat/>
    <w:rsid w:val="00C97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715455">
      <w:bodyDiv w:val="1"/>
      <w:marLeft w:val="0"/>
      <w:marRight w:val="0"/>
      <w:marTop w:val="0"/>
      <w:marBottom w:val="0"/>
      <w:divBdr>
        <w:top w:val="none" w:sz="0" w:space="0" w:color="auto"/>
        <w:left w:val="none" w:sz="0" w:space="0" w:color="auto"/>
        <w:bottom w:val="none" w:sz="0" w:space="0" w:color="auto"/>
        <w:right w:val="none" w:sz="0" w:space="0" w:color="auto"/>
      </w:divBdr>
    </w:div>
    <w:div w:id="809321012">
      <w:bodyDiv w:val="1"/>
      <w:marLeft w:val="0"/>
      <w:marRight w:val="0"/>
      <w:marTop w:val="0"/>
      <w:marBottom w:val="0"/>
      <w:divBdr>
        <w:top w:val="none" w:sz="0" w:space="0" w:color="auto"/>
        <w:left w:val="none" w:sz="0" w:space="0" w:color="auto"/>
        <w:bottom w:val="none" w:sz="0" w:space="0" w:color="auto"/>
        <w:right w:val="none" w:sz="0" w:space="0" w:color="auto"/>
      </w:divBdr>
    </w:div>
    <w:div w:id="963343243">
      <w:bodyDiv w:val="1"/>
      <w:marLeft w:val="0"/>
      <w:marRight w:val="0"/>
      <w:marTop w:val="0"/>
      <w:marBottom w:val="0"/>
      <w:divBdr>
        <w:top w:val="none" w:sz="0" w:space="0" w:color="auto"/>
        <w:left w:val="none" w:sz="0" w:space="0" w:color="auto"/>
        <w:bottom w:val="none" w:sz="0" w:space="0" w:color="auto"/>
        <w:right w:val="none" w:sz="0" w:space="0" w:color="auto"/>
      </w:divBdr>
    </w:div>
    <w:div w:id="1721202340">
      <w:bodyDiv w:val="1"/>
      <w:marLeft w:val="0"/>
      <w:marRight w:val="0"/>
      <w:marTop w:val="0"/>
      <w:marBottom w:val="0"/>
      <w:divBdr>
        <w:top w:val="none" w:sz="0" w:space="0" w:color="auto"/>
        <w:left w:val="none" w:sz="0" w:space="0" w:color="auto"/>
        <w:bottom w:val="none" w:sz="0" w:space="0" w:color="auto"/>
        <w:right w:val="none" w:sz="0" w:space="0" w:color="auto"/>
      </w:divBdr>
      <w:divsChild>
        <w:div w:id="2100129496">
          <w:marLeft w:val="0"/>
          <w:marRight w:val="0"/>
          <w:marTop w:val="0"/>
          <w:marBottom w:val="0"/>
          <w:divBdr>
            <w:top w:val="none" w:sz="0" w:space="0" w:color="auto"/>
            <w:left w:val="none" w:sz="0" w:space="0" w:color="auto"/>
            <w:bottom w:val="none" w:sz="0" w:space="0" w:color="auto"/>
            <w:right w:val="none" w:sz="0" w:space="0" w:color="auto"/>
          </w:divBdr>
          <w:divsChild>
            <w:div w:id="558595137">
              <w:marLeft w:val="0"/>
              <w:marRight w:val="0"/>
              <w:marTop w:val="0"/>
              <w:marBottom w:val="0"/>
              <w:divBdr>
                <w:top w:val="none" w:sz="0" w:space="0" w:color="auto"/>
                <w:left w:val="none" w:sz="0" w:space="0" w:color="auto"/>
                <w:bottom w:val="none" w:sz="0" w:space="0" w:color="auto"/>
                <w:right w:val="none" w:sz="0" w:space="0" w:color="auto"/>
              </w:divBdr>
            </w:div>
          </w:divsChild>
        </w:div>
        <w:div w:id="1982541292">
          <w:marLeft w:val="0"/>
          <w:marRight w:val="0"/>
          <w:marTop w:val="0"/>
          <w:marBottom w:val="0"/>
          <w:divBdr>
            <w:top w:val="none" w:sz="0" w:space="0" w:color="auto"/>
            <w:left w:val="none" w:sz="0" w:space="0" w:color="auto"/>
            <w:bottom w:val="none" w:sz="0" w:space="0" w:color="auto"/>
            <w:right w:val="none" w:sz="0" w:space="0" w:color="auto"/>
          </w:divBdr>
          <w:divsChild>
            <w:div w:id="1849447623">
              <w:marLeft w:val="0"/>
              <w:marRight w:val="0"/>
              <w:marTop w:val="0"/>
              <w:marBottom w:val="0"/>
              <w:divBdr>
                <w:top w:val="none" w:sz="0" w:space="0" w:color="auto"/>
                <w:left w:val="none" w:sz="0" w:space="0" w:color="auto"/>
                <w:bottom w:val="none" w:sz="0" w:space="0" w:color="auto"/>
                <w:right w:val="none" w:sz="0" w:space="0" w:color="auto"/>
              </w:divBdr>
            </w:div>
          </w:divsChild>
        </w:div>
        <w:div w:id="1006323087">
          <w:marLeft w:val="0"/>
          <w:marRight w:val="0"/>
          <w:marTop w:val="0"/>
          <w:marBottom w:val="0"/>
          <w:divBdr>
            <w:top w:val="none" w:sz="0" w:space="0" w:color="auto"/>
            <w:left w:val="none" w:sz="0" w:space="0" w:color="auto"/>
            <w:bottom w:val="none" w:sz="0" w:space="0" w:color="auto"/>
            <w:right w:val="none" w:sz="0" w:space="0" w:color="auto"/>
          </w:divBdr>
          <w:divsChild>
            <w:div w:id="1684668694">
              <w:marLeft w:val="0"/>
              <w:marRight w:val="0"/>
              <w:marTop w:val="0"/>
              <w:marBottom w:val="0"/>
              <w:divBdr>
                <w:top w:val="none" w:sz="0" w:space="0" w:color="auto"/>
                <w:left w:val="none" w:sz="0" w:space="0" w:color="auto"/>
                <w:bottom w:val="none" w:sz="0" w:space="0" w:color="auto"/>
                <w:right w:val="none" w:sz="0" w:space="0" w:color="auto"/>
              </w:divBdr>
            </w:div>
          </w:divsChild>
        </w:div>
        <w:div w:id="337463871">
          <w:marLeft w:val="0"/>
          <w:marRight w:val="0"/>
          <w:marTop w:val="0"/>
          <w:marBottom w:val="0"/>
          <w:divBdr>
            <w:top w:val="none" w:sz="0" w:space="0" w:color="auto"/>
            <w:left w:val="none" w:sz="0" w:space="0" w:color="auto"/>
            <w:bottom w:val="none" w:sz="0" w:space="0" w:color="auto"/>
            <w:right w:val="none" w:sz="0" w:space="0" w:color="auto"/>
          </w:divBdr>
          <w:divsChild>
            <w:div w:id="1662614397">
              <w:marLeft w:val="0"/>
              <w:marRight w:val="0"/>
              <w:marTop w:val="0"/>
              <w:marBottom w:val="0"/>
              <w:divBdr>
                <w:top w:val="none" w:sz="0" w:space="0" w:color="auto"/>
                <w:left w:val="none" w:sz="0" w:space="0" w:color="auto"/>
                <w:bottom w:val="none" w:sz="0" w:space="0" w:color="auto"/>
                <w:right w:val="none" w:sz="0" w:space="0" w:color="auto"/>
              </w:divBdr>
            </w:div>
          </w:divsChild>
        </w:div>
        <w:div w:id="1362051899">
          <w:marLeft w:val="0"/>
          <w:marRight w:val="0"/>
          <w:marTop w:val="0"/>
          <w:marBottom w:val="0"/>
          <w:divBdr>
            <w:top w:val="none" w:sz="0" w:space="0" w:color="auto"/>
            <w:left w:val="none" w:sz="0" w:space="0" w:color="auto"/>
            <w:bottom w:val="none" w:sz="0" w:space="0" w:color="auto"/>
            <w:right w:val="none" w:sz="0" w:space="0" w:color="auto"/>
          </w:divBdr>
          <w:divsChild>
            <w:div w:id="584805289">
              <w:marLeft w:val="0"/>
              <w:marRight w:val="0"/>
              <w:marTop w:val="0"/>
              <w:marBottom w:val="0"/>
              <w:divBdr>
                <w:top w:val="none" w:sz="0" w:space="0" w:color="auto"/>
                <w:left w:val="none" w:sz="0" w:space="0" w:color="auto"/>
                <w:bottom w:val="none" w:sz="0" w:space="0" w:color="auto"/>
                <w:right w:val="none" w:sz="0" w:space="0" w:color="auto"/>
              </w:divBdr>
            </w:div>
          </w:divsChild>
        </w:div>
        <w:div w:id="1635451308">
          <w:marLeft w:val="0"/>
          <w:marRight w:val="0"/>
          <w:marTop w:val="0"/>
          <w:marBottom w:val="0"/>
          <w:divBdr>
            <w:top w:val="none" w:sz="0" w:space="0" w:color="auto"/>
            <w:left w:val="none" w:sz="0" w:space="0" w:color="auto"/>
            <w:bottom w:val="none" w:sz="0" w:space="0" w:color="auto"/>
            <w:right w:val="none" w:sz="0" w:space="0" w:color="auto"/>
          </w:divBdr>
          <w:divsChild>
            <w:div w:id="1208682042">
              <w:marLeft w:val="0"/>
              <w:marRight w:val="0"/>
              <w:marTop w:val="0"/>
              <w:marBottom w:val="0"/>
              <w:divBdr>
                <w:top w:val="none" w:sz="0" w:space="0" w:color="auto"/>
                <w:left w:val="none" w:sz="0" w:space="0" w:color="auto"/>
                <w:bottom w:val="none" w:sz="0" w:space="0" w:color="auto"/>
                <w:right w:val="none" w:sz="0" w:space="0" w:color="auto"/>
              </w:divBdr>
            </w:div>
          </w:divsChild>
        </w:div>
        <w:div w:id="1987514272">
          <w:marLeft w:val="0"/>
          <w:marRight w:val="0"/>
          <w:marTop w:val="0"/>
          <w:marBottom w:val="0"/>
          <w:divBdr>
            <w:top w:val="none" w:sz="0" w:space="0" w:color="auto"/>
            <w:left w:val="none" w:sz="0" w:space="0" w:color="auto"/>
            <w:bottom w:val="none" w:sz="0" w:space="0" w:color="auto"/>
            <w:right w:val="none" w:sz="0" w:space="0" w:color="auto"/>
          </w:divBdr>
          <w:divsChild>
            <w:div w:id="640379377">
              <w:marLeft w:val="0"/>
              <w:marRight w:val="0"/>
              <w:marTop w:val="0"/>
              <w:marBottom w:val="0"/>
              <w:divBdr>
                <w:top w:val="none" w:sz="0" w:space="0" w:color="auto"/>
                <w:left w:val="none" w:sz="0" w:space="0" w:color="auto"/>
                <w:bottom w:val="none" w:sz="0" w:space="0" w:color="auto"/>
                <w:right w:val="none" w:sz="0" w:space="0" w:color="auto"/>
              </w:divBdr>
            </w:div>
          </w:divsChild>
        </w:div>
        <w:div w:id="2073456627">
          <w:marLeft w:val="0"/>
          <w:marRight w:val="0"/>
          <w:marTop w:val="0"/>
          <w:marBottom w:val="0"/>
          <w:divBdr>
            <w:top w:val="none" w:sz="0" w:space="0" w:color="auto"/>
            <w:left w:val="none" w:sz="0" w:space="0" w:color="auto"/>
            <w:bottom w:val="none" w:sz="0" w:space="0" w:color="auto"/>
            <w:right w:val="none" w:sz="0" w:space="0" w:color="auto"/>
          </w:divBdr>
          <w:divsChild>
            <w:div w:id="954870940">
              <w:marLeft w:val="0"/>
              <w:marRight w:val="0"/>
              <w:marTop w:val="0"/>
              <w:marBottom w:val="0"/>
              <w:divBdr>
                <w:top w:val="none" w:sz="0" w:space="0" w:color="auto"/>
                <w:left w:val="none" w:sz="0" w:space="0" w:color="auto"/>
                <w:bottom w:val="none" w:sz="0" w:space="0" w:color="auto"/>
                <w:right w:val="none" w:sz="0" w:space="0" w:color="auto"/>
              </w:divBdr>
            </w:div>
          </w:divsChild>
        </w:div>
        <w:div w:id="788744364">
          <w:marLeft w:val="0"/>
          <w:marRight w:val="0"/>
          <w:marTop w:val="0"/>
          <w:marBottom w:val="0"/>
          <w:divBdr>
            <w:top w:val="none" w:sz="0" w:space="0" w:color="auto"/>
            <w:left w:val="none" w:sz="0" w:space="0" w:color="auto"/>
            <w:bottom w:val="none" w:sz="0" w:space="0" w:color="auto"/>
            <w:right w:val="none" w:sz="0" w:space="0" w:color="auto"/>
          </w:divBdr>
          <w:divsChild>
            <w:div w:id="1771705413">
              <w:marLeft w:val="0"/>
              <w:marRight w:val="0"/>
              <w:marTop w:val="0"/>
              <w:marBottom w:val="0"/>
              <w:divBdr>
                <w:top w:val="none" w:sz="0" w:space="0" w:color="auto"/>
                <w:left w:val="none" w:sz="0" w:space="0" w:color="auto"/>
                <w:bottom w:val="none" w:sz="0" w:space="0" w:color="auto"/>
                <w:right w:val="none" w:sz="0" w:space="0" w:color="auto"/>
              </w:divBdr>
            </w:div>
          </w:divsChild>
        </w:div>
        <w:div w:id="1336878769">
          <w:marLeft w:val="0"/>
          <w:marRight w:val="0"/>
          <w:marTop w:val="0"/>
          <w:marBottom w:val="0"/>
          <w:divBdr>
            <w:top w:val="none" w:sz="0" w:space="0" w:color="auto"/>
            <w:left w:val="none" w:sz="0" w:space="0" w:color="auto"/>
            <w:bottom w:val="none" w:sz="0" w:space="0" w:color="auto"/>
            <w:right w:val="none" w:sz="0" w:space="0" w:color="auto"/>
          </w:divBdr>
          <w:divsChild>
            <w:div w:id="9746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1714</Words>
  <Characters>9944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2026-10-30T18:11:00Z</dcterms:created>
  <dcterms:modified xsi:type="dcterms:W3CDTF">2026-10-30T18:30:00Z</dcterms:modified>
</cp:coreProperties>
</file>