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Rmd</w:t>
      </w:r>
      <w:r>
        <w:t xml:space="preserve"> </w:t>
      </w:r>
      <w:r>
        <w:t xml:space="preserve">Osyris</w:t>
      </w:r>
      <w:r>
        <w:t xml:space="preserve"> </w:t>
      </w:r>
      <w:r>
        <w:t xml:space="preserve">lanceolata</w:t>
      </w:r>
    </w:p>
    <w:p>
      <w:pPr>
        <w:pStyle w:val="Author"/>
      </w:pPr>
      <w:r>
        <w:t xml:space="preserve">Nerea</w:t>
      </w:r>
      <w:r>
        <w:t xml:space="preserve"> </w:t>
      </w:r>
      <w:r>
        <w:t xml:space="preserve">Gutiérrez-Gordillo</w:t>
      </w:r>
    </w:p>
    <w:p>
      <w:pPr>
        <w:pStyle w:val="Date"/>
      </w:pPr>
      <w:r>
        <w:t xml:space="preserve">2024-01-20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40" w:name="r-markdown-osyris-lanceolata"/>
    <w:p>
      <w:pPr>
        <w:pStyle w:val="Heading1"/>
      </w:pPr>
      <w:r>
        <w:t xml:space="preserve">R Markdown Osyris lanceolata</w:t>
      </w:r>
    </w:p>
    <w:bookmarkStart w:id="21" w:name="proyecto-de-dinámicas-poblacionales"/>
    <w:p>
      <w:pPr>
        <w:pStyle w:val="Heading2"/>
      </w:pPr>
      <w:r>
        <w:t xml:space="preserve">Proyecto de dinámicas poblacionales</w:t>
      </w:r>
    </w:p>
    <w:bookmarkStart w:id="20" w:name="ecoinformática---ejercicio-práctico"/>
    <w:p>
      <w:pPr>
        <w:pStyle w:val="Heading3"/>
      </w:pPr>
      <w:r>
        <w:t xml:space="preserve">Ecoinformática - ejercicio práctico</w:t>
      </w:r>
    </w:p>
    <w:bookmarkEnd w:id="20"/>
    <w:bookmarkEnd w:id="21"/>
    <w:bookmarkStart w:id="27" w:name="introducción"/>
    <w:p>
      <w:pPr>
        <w:pStyle w:val="Heading2"/>
      </w:pPr>
      <w:r>
        <w:t xml:space="preserve">Introducción</w:t>
      </w:r>
    </w:p>
    <w:p>
      <w:pPr>
        <w:pStyle w:val="FirstParagraph"/>
      </w:pPr>
      <w:r>
        <w:t xml:space="preserve">El siguiente proyecto pretende estudiar la</w:t>
      </w:r>
      <w:r>
        <w:t xml:space="preserve"> </w:t>
      </w:r>
      <w:r>
        <w:rPr>
          <w:bCs/>
          <w:b/>
        </w:rPr>
        <w:t xml:space="preserve">dinámica poblacional</w:t>
      </w:r>
      <w:r>
        <w:t xml:space="preserve"> </w:t>
      </w:r>
      <w:r>
        <w:t xml:space="preserve">de</w:t>
      </w:r>
      <w:r>
        <w:t xml:space="preserve"> </w:t>
      </w:r>
      <w:hyperlink r:id="rId22">
        <w:r>
          <w:rPr>
            <w:rStyle w:val="Hyperlink"/>
            <w:iCs/>
            <w:i/>
          </w:rPr>
          <w:t xml:space="preserve">Osyris lanceolata</w:t>
        </w:r>
      </w:hyperlink>
      <w:r>
        <w:t xml:space="preserve">, comúnmente conocida como bayón.</w:t>
      </w:r>
    </w:p>
    <w:p>
      <w:pPr>
        <w:pStyle w:val="BodyText"/>
      </w:pPr>
      <w:r>
        <w:rPr>
          <w:iCs/>
          <w:i/>
        </w:rPr>
        <w:t xml:space="preserve">Osyris lanceolata</w:t>
      </w:r>
      <w:r>
        <w:t xml:space="preserve"> </w:t>
      </w:r>
      <w:r>
        <w:t xml:space="preserve">se trata de una especie de planta hemiparásita, capaz de parasitar a otras especies a nivel del xilema, obteniendo de los hospedadores nutrientes, sales minerales y agua por medio de un órgano especializado llamado</w:t>
      </w:r>
      <w:r>
        <w:t xml:space="preserve"> </w:t>
      </w:r>
      <w:hyperlink r:id="rId23">
        <w:r>
          <w:rPr>
            <w:rStyle w:val="Hyperlink"/>
            <w:bCs/>
            <w:b/>
          </w:rPr>
          <w:t xml:space="preserve">haustorio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5334000" cy="2800350"/>
            <wp:effectExtent b="0" l="0" r="0" t="0"/>
            <wp:docPr descr="Osyris lanceolata Hocht. &amp; Steud." title="" id="25" name="Picture"/>
            <a:graphic>
              <a:graphicData uri="http://schemas.openxmlformats.org/drawingml/2006/picture">
                <pic:pic>
                  <pic:nvPicPr>
                    <pic:cNvPr descr="imagen%20osyris%20lanceolat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Osyris lanceolata</w:t>
      </w:r>
      <w:r>
        <w:t xml:space="preserve"> </w:t>
      </w:r>
      <w:r>
        <w:t xml:space="preserve">Hocht. &amp; Steud.</w:t>
      </w:r>
    </w:p>
    <w:p>
      <w:pPr>
        <w:pStyle w:val="BodyText"/>
      </w:pPr>
      <w:r>
        <w:t xml:space="preserve">La formación del haustorio es potenciada por moléculas de señal generadas por el huésped, denominadas factores de inducción del haustorio (HIF), algunas de ellas son los compuestos fenólicos y quinonas</w:t>
      </w:r>
      <w:r>
        <w:t xml:space="preserve"> </w:t>
      </w:r>
      <w:r>
        <w:t xml:space="preserve">(Luna, 2002)</w:t>
      </w:r>
      <w:r>
        <w:t xml:space="preserve">. Dicha conexión le permite además, accionar un mecanismo secundario de defensa, ya que por medio de la relación íntima establecida, en caso de ataque a uno de sus hospedadores, las</w:t>
      </w:r>
      <w:r>
        <w:t xml:space="preserve"> </w:t>
      </w:r>
      <w:r>
        <w:rPr>
          <w:bCs/>
          <w:b/>
        </w:rPr>
        <w:t xml:space="preserve">ROS</w:t>
      </w:r>
      <w:r>
        <w:t xml:space="preserve"> </w:t>
      </w:r>
      <w:r>
        <w:t xml:space="preserve">(especies reactivas del oxígeno) serán capaces de llegar hasta el ejemplar de</w:t>
      </w:r>
      <w:r>
        <w:t xml:space="preserve"> </w:t>
      </w:r>
      <w:r>
        <w:rPr>
          <w:iCs/>
          <w:i/>
        </w:rPr>
        <w:t xml:space="preserve">Osyris lanceolata</w:t>
      </w:r>
      <w:r>
        <w:t xml:space="preserve">, permitiéndole preparase frente al ataque previamente.</w:t>
      </w:r>
    </w:p>
    <w:p>
      <w:pPr>
        <w:pStyle w:val="BodyText"/>
      </w:pPr>
      <w:r>
        <w:t xml:space="preserve">Para su determinación como facultativa, la planta parásita es capaz de florecer y fructificar solamente durante su estado preparasítico. Por otro lado, las plantas hemiparásitas obligadas, son predadoras fotosintéticas del xilema pero, siendo parásitas caulinares, no pueden existir independientemente de su hospedante</w:t>
      </w:r>
      <w:r>
        <w:t xml:space="preserve"> </w:t>
      </w:r>
      <w:r>
        <w:t xml:space="preserve">(Valera Burgos, 2012)</w:t>
      </w:r>
      <w:r>
        <w:t xml:space="preserve">.</w:t>
      </w:r>
    </w:p>
    <w:p>
      <w:pPr>
        <w:pStyle w:val="BodyText"/>
      </w:pPr>
      <w:r>
        <w:t xml:space="preserve">En este proyecto pretende observar la posible relación entre el</w:t>
      </w:r>
      <w:r>
        <w:t xml:space="preserve"> </w:t>
      </w:r>
      <w:r>
        <w:rPr>
          <w:bCs/>
          <w:b/>
        </w:rPr>
        <w:t xml:space="preserve">LAI</w:t>
      </w:r>
      <w:r>
        <w:t xml:space="preserve"> </w:t>
      </w:r>
      <w:r>
        <w:t xml:space="preserve">(Índice de área foliar) y la</w:t>
      </w:r>
      <w:r>
        <w:t xml:space="preserve"> </w:t>
      </w:r>
      <w:r>
        <w:rPr>
          <w:bCs/>
          <w:b/>
        </w:rPr>
        <w:t xml:space="preserve">altura</w:t>
      </w:r>
      <w:r>
        <w:t xml:space="preserve"> </w:t>
      </w:r>
      <w:r>
        <w:t xml:space="preserve">de cada uno de los individuos. Para estudiar la correspondencia entre dichas variables, partimos de una base de datos con 15 individuos en las que no hay distinción previa entre machos y hembras.</w:t>
      </w:r>
    </w:p>
    <w:p>
      <w:pPr>
        <w:pStyle w:val="BodyText"/>
      </w:pPr>
      <w:r>
        <w:rPr>
          <w:rStyle w:val="VerbatimChar"/>
        </w:rPr>
        <w:t xml:space="preserve">{{r}} read.csv(file="basededatos1"), header = TRUE, sep = ",") knitr::kable( basededatos1[1:15, ] )</w:t>
      </w:r>
    </w:p>
    <w:bookmarkEnd w:id="27"/>
    <w:bookmarkStart w:id="28" w:name="zona-de-estudio"/>
    <w:p>
      <w:pPr>
        <w:pStyle w:val="Heading2"/>
      </w:pPr>
      <w:r>
        <w:t xml:space="preserve">Zona de estudio</w:t>
      </w:r>
    </w:p>
    <w:p>
      <w:pPr>
        <w:pStyle w:val="FirstParagraph"/>
      </w:pPr>
      <w:r>
        <w:rPr>
          <w:iCs/>
          <w:i/>
        </w:rPr>
        <w:t xml:space="preserve">Osyris lanceolata</w:t>
      </w:r>
      <w:r>
        <w:t xml:space="preserve"> </w:t>
      </w:r>
      <w:r>
        <w:t xml:space="preserve">presenta una distribución muy amplia en la Península Ibérica, siendo los principales focos de arraigamiento zonas del litoral atlántico y el Mar mediterráneo. Este estudio se desarrollará en</w:t>
      </w:r>
      <w:r>
        <w:t xml:space="preserve"> </w:t>
      </w:r>
      <w:r>
        <w:rPr>
          <w:bCs/>
          <w:b/>
        </w:rPr>
        <w:t xml:space="preserve">el Acantilado del Asperillo, Huelva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(leaflet)</w:t>
      </w:r>
      <w:r>
        <w:br/>
      </w:r>
      <w:r>
        <w:rPr>
          <w:rStyle w:val="NormalTok"/>
        </w:rPr>
        <w:t xml:space="preserve">datos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37.093844207328495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6.7333759886534095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ciudad=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"Acantilado del Asperillo"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leaflet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datos)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addTiles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addMarkers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lon,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lat, </w:t>
      </w:r>
      <w:r>
        <w:rPr>
          <w:rStyle w:val="AttributeTok"/>
        </w:rPr>
        <w:t xml:space="preserve">popup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ciudad)</w:t>
      </w:r>
    </w:p>
    <w:bookmarkEnd w:id="28"/>
    <w:bookmarkStart w:id="35" w:name="relación-del-lai-con-la-altura"/>
    <w:p>
      <w:pPr>
        <w:pStyle w:val="Heading2"/>
      </w:pPr>
      <w:r>
        <w:t xml:space="preserve">Relación del LAI con la altura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Osyiris_lanceolata_rmd_files/figure-docx/unnamed-chunk-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6104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lot_LAI_Altura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1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En la siguiente gráfica se puede observar como las variables</w:t>
      </w:r>
      <w:r>
        <w:t xml:space="preserve"> </w:t>
      </w:r>
      <w:r>
        <w:rPr>
          <w:bCs/>
          <w:b/>
        </w:rPr>
        <w:t xml:space="preserve">altura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LAI</w:t>
      </w:r>
      <w:r>
        <w:t xml:space="preserve"> </w:t>
      </w:r>
      <w:r>
        <w:t xml:space="preserve">no presentan correlación. El valor del índice de área foliar no depende de la altura del individuo.</w:t>
      </w:r>
    </w:p>
    <w:bookmarkEnd w:id="35"/>
    <w:bookmarkStart w:id="39" w:name="bibliografía"/>
    <w:p>
      <w:pPr>
        <w:pStyle w:val="Heading2"/>
      </w:pPr>
      <w:r>
        <w:rPr>
          <w:bCs/>
          <w:b/>
        </w:rPr>
        <w:t xml:space="preserve">Bibliografía</w:t>
      </w:r>
    </w:p>
    <w:bookmarkStart w:id="38" w:name="refs"/>
    <w:bookmarkStart w:id="36" w:name="ref-luna2002parasitismo"/>
    <w:p>
      <w:pPr>
        <w:pStyle w:val="Bibliography"/>
      </w:pPr>
      <w:r>
        <w:t xml:space="preserve">Luna, M. L. (2002). El parasitismo en las plantas.</w:t>
      </w:r>
      <w:r>
        <w:t xml:space="preserve"> </w:t>
      </w:r>
      <w:r>
        <w:rPr>
          <w:iCs/>
          <w:i/>
        </w:rPr>
        <w:t xml:space="preserve">Museo</w:t>
      </w:r>
      <w:r>
        <w:t xml:space="preserve">.</w:t>
      </w:r>
    </w:p>
    <w:bookmarkEnd w:id="36"/>
    <w:bookmarkStart w:id="37" w:name="ref-valera2012papel"/>
    <w:p>
      <w:pPr>
        <w:pStyle w:val="Bibliography"/>
      </w:pPr>
      <w:r>
        <w:t xml:space="preserve">Valera Burgos, J. (2012).</w:t>
      </w:r>
      <w:r>
        <w:t xml:space="preserve"> </w:t>
      </w:r>
      <w:r>
        <w:rPr>
          <w:iCs/>
          <w:i/>
        </w:rPr>
        <w:t xml:space="preserve">El papel facilitador o inhibidor de Pinus Pinea L. Sobre especies aut</w:t>
      </w:r>
      <w:r>
        <w:rPr>
          <w:iCs/>
          <w:i/>
        </w:rPr>
        <w:t xml:space="preserve">ó</w:t>
      </w:r>
      <w:r>
        <w:rPr>
          <w:iCs/>
          <w:i/>
        </w:rPr>
        <w:t xml:space="preserve">ctonas de matorral mediterr</w:t>
      </w:r>
      <w:r>
        <w:rPr>
          <w:iCs/>
          <w:i/>
        </w:rPr>
        <w:t xml:space="preserve">á</w:t>
      </w:r>
      <w:r>
        <w:rPr>
          <w:iCs/>
          <w:i/>
        </w:rPr>
        <w:t xml:space="preserve">neo</w:t>
      </w:r>
      <w:r>
        <w:t xml:space="preserve">.</w:t>
      </w:r>
    </w:p>
    <w:bookmarkEnd w:id="37"/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-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24" Target="media/rId24.png" /><Relationship Type="http://schemas.openxmlformats.org/officeDocument/2006/relationships/hyperlink" Id="rId23" Target="https://idus.us.es/handle/11441/53565" TargetMode="External" /><Relationship Type="http://schemas.openxmlformats.org/officeDocument/2006/relationships/hyperlink" Id="rId22" Target="https://www.gbif.org/es/species/747392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idus.us.es/handle/11441/53565" TargetMode="External" /><Relationship Type="http://schemas.openxmlformats.org/officeDocument/2006/relationships/hyperlink" Id="rId22" Target="https://www.gbif.org/es/species/747392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Rmd Osyris lanceolata</dc:title>
  <dc:creator>Nerea Gutiérrez-Gordillo</dc:creator>
  <dc:language>es-ES</dc:language>
  <cp:keywords/>
  <dcterms:created xsi:type="dcterms:W3CDTF">2024-01-27T13:44:33Z</dcterms:created>
  <dcterms:modified xsi:type="dcterms:W3CDTF">2024-01-27T13:44:33Z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Bibliografia.bib</vt:lpwstr>
  </property>
  <property fmtid="{D5CDD505-2E9C-101B-9397-08002B2CF9AE}" pid="3" name="csl">
    <vt:lpwstr>apa.csl</vt:lpwstr>
  </property>
  <property fmtid="{D5CDD505-2E9C-101B-9397-08002B2CF9AE}" pid="4" name="date">
    <vt:lpwstr>2024-01-20</vt:lpwstr>
  </property>
  <property fmtid="{D5CDD505-2E9C-101B-9397-08002B2CF9AE}" pid="5" name="output">
    <vt:lpwstr>word_document</vt:lpwstr>
  </property>
  <property fmtid="{D5CDD505-2E9C-101B-9397-08002B2CF9AE}" pid="6" name="toc">
    <vt:lpwstr>True</vt:lpwstr>
  </property>
</Properties>
</file>