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BEC" w:rsidRDefault="00BB183E" w:rsidP="00BD6D04">
      <w:pPr>
        <w:pStyle w:val="ListParagraph"/>
        <w:numPr>
          <w:ilvl w:val="0"/>
          <w:numId w:val="1"/>
        </w:numPr>
        <w:jc w:val="both"/>
      </w:pPr>
      <w:r>
        <w:t>Is the type of beverage ordered with lunch at a restaurant independent of the age of the consumer? A random poll of 309 lunch customers is taken, resulting in the following contingency table of observed values. Use 1 percent significance level to determine whether the two variables are independent.</w:t>
      </w:r>
    </w:p>
    <w:tbl>
      <w:tblPr>
        <w:tblStyle w:val="TableGrid"/>
        <w:tblW w:w="0" w:type="auto"/>
        <w:tblInd w:w="720" w:type="dxa"/>
        <w:tblLook w:val="04A0"/>
      </w:tblPr>
      <w:tblGrid>
        <w:gridCol w:w="1143"/>
        <w:gridCol w:w="1194"/>
        <w:gridCol w:w="1128"/>
        <w:gridCol w:w="1119"/>
      </w:tblGrid>
      <w:tr w:rsidR="00BB183E" w:rsidTr="00A83F37">
        <w:tc>
          <w:tcPr>
            <w:tcW w:w="1143" w:type="dxa"/>
          </w:tcPr>
          <w:p w:rsidR="00BB183E" w:rsidRDefault="00BB183E" w:rsidP="00BD6D04">
            <w:pPr>
              <w:pStyle w:val="ListParagraph"/>
              <w:ind w:left="0"/>
              <w:jc w:val="both"/>
            </w:pPr>
          </w:p>
        </w:tc>
        <w:tc>
          <w:tcPr>
            <w:tcW w:w="3441" w:type="dxa"/>
            <w:gridSpan w:val="3"/>
          </w:tcPr>
          <w:p w:rsidR="00BB183E" w:rsidRPr="00BB183E" w:rsidRDefault="00BB183E" w:rsidP="00BD6D04">
            <w:pPr>
              <w:pStyle w:val="ListParagraph"/>
              <w:ind w:left="0"/>
              <w:jc w:val="both"/>
              <w:rPr>
                <w:b/>
              </w:rPr>
            </w:pPr>
            <w:r w:rsidRPr="00BB183E">
              <w:rPr>
                <w:b/>
              </w:rPr>
              <w:t>Preferred beverage</w:t>
            </w:r>
          </w:p>
        </w:tc>
      </w:tr>
      <w:tr w:rsidR="00BB183E" w:rsidTr="00BB183E">
        <w:tc>
          <w:tcPr>
            <w:tcW w:w="1143" w:type="dxa"/>
          </w:tcPr>
          <w:p w:rsidR="00BB183E" w:rsidRPr="00BB183E" w:rsidRDefault="00BB183E" w:rsidP="00BD6D04">
            <w:pPr>
              <w:pStyle w:val="ListParagraph"/>
              <w:ind w:left="0"/>
              <w:jc w:val="both"/>
              <w:rPr>
                <w:b/>
              </w:rPr>
            </w:pPr>
            <w:r w:rsidRPr="00BB183E">
              <w:rPr>
                <w:b/>
              </w:rPr>
              <w:t xml:space="preserve">Age </w:t>
            </w:r>
          </w:p>
        </w:tc>
        <w:tc>
          <w:tcPr>
            <w:tcW w:w="1194" w:type="dxa"/>
          </w:tcPr>
          <w:p w:rsidR="00BB183E" w:rsidRDefault="00BB183E" w:rsidP="00BD6D04">
            <w:pPr>
              <w:pStyle w:val="ListParagraph"/>
              <w:ind w:left="0"/>
              <w:jc w:val="both"/>
            </w:pPr>
            <w:r>
              <w:t xml:space="preserve">Coffee/tea </w:t>
            </w:r>
          </w:p>
        </w:tc>
        <w:tc>
          <w:tcPr>
            <w:tcW w:w="1128" w:type="dxa"/>
          </w:tcPr>
          <w:p w:rsidR="00BB183E" w:rsidRDefault="00BB183E" w:rsidP="00BD6D04">
            <w:pPr>
              <w:pStyle w:val="ListParagraph"/>
              <w:ind w:left="0"/>
              <w:jc w:val="both"/>
            </w:pPr>
            <w:r>
              <w:t xml:space="preserve">Soft drink </w:t>
            </w:r>
          </w:p>
        </w:tc>
        <w:tc>
          <w:tcPr>
            <w:tcW w:w="1119" w:type="dxa"/>
          </w:tcPr>
          <w:p w:rsidR="00BB183E" w:rsidRDefault="00BB183E" w:rsidP="00BD6D04">
            <w:pPr>
              <w:pStyle w:val="ListParagraph"/>
              <w:ind w:left="0"/>
              <w:jc w:val="both"/>
            </w:pPr>
            <w:r>
              <w:t>Milk</w:t>
            </w:r>
          </w:p>
        </w:tc>
      </w:tr>
      <w:tr w:rsidR="00BB183E" w:rsidTr="00BB183E">
        <w:tc>
          <w:tcPr>
            <w:tcW w:w="1143" w:type="dxa"/>
          </w:tcPr>
          <w:p w:rsidR="00BB183E" w:rsidRDefault="00BB183E" w:rsidP="00BD6D04">
            <w:pPr>
              <w:pStyle w:val="ListParagraph"/>
              <w:ind w:left="0"/>
              <w:jc w:val="both"/>
            </w:pPr>
            <w:r>
              <w:t>21 – 34</w:t>
            </w:r>
          </w:p>
        </w:tc>
        <w:tc>
          <w:tcPr>
            <w:tcW w:w="1194" w:type="dxa"/>
          </w:tcPr>
          <w:p w:rsidR="00BB183E" w:rsidRDefault="00BB183E" w:rsidP="00BD6D04">
            <w:pPr>
              <w:pStyle w:val="ListParagraph"/>
              <w:ind w:left="0"/>
              <w:jc w:val="both"/>
            </w:pPr>
            <w:r>
              <w:t>26</w:t>
            </w:r>
          </w:p>
        </w:tc>
        <w:tc>
          <w:tcPr>
            <w:tcW w:w="1128" w:type="dxa"/>
          </w:tcPr>
          <w:p w:rsidR="00BB183E" w:rsidRDefault="00BB183E" w:rsidP="00BD6D04">
            <w:pPr>
              <w:pStyle w:val="ListParagraph"/>
              <w:ind w:left="0"/>
              <w:jc w:val="both"/>
            </w:pPr>
            <w:r>
              <w:t>95</w:t>
            </w:r>
          </w:p>
        </w:tc>
        <w:tc>
          <w:tcPr>
            <w:tcW w:w="1119" w:type="dxa"/>
          </w:tcPr>
          <w:p w:rsidR="00BB183E" w:rsidRDefault="00BB183E" w:rsidP="00BD6D04">
            <w:pPr>
              <w:pStyle w:val="ListParagraph"/>
              <w:ind w:left="0"/>
              <w:jc w:val="both"/>
            </w:pPr>
            <w:r>
              <w:t>18</w:t>
            </w:r>
          </w:p>
        </w:tc>
      </w:tr>
      <w:tr w:rsidR="00BB183E" w:rsidTr="00BB183E">
        <w:tc>
          <w:tcPr>
            <w:tcW w:w="1143" w:type="dxa"/>
          </w:tcPr>
          <w:p w:rsidR="00BB183E" w:rsidRDefault="00BB183E" w:rsidP="00BD6D04">
            <w:pPr>
              <w:pStyle w:val="ListParagraph"/>
              <w:ind w:left="0"/>
              <w:jc w:val="both"/>
            </w:pPr>
            <w:r>
              <w:t>35 – 55</w:t>
            </w:r>
          </w:p>
        </w:tc>
        <w:tc>
          <w:tcPr>
            <w:tcW w:w="1194" w:type="dxa"/>
          </w:tcPr>
          <w:p w:rsidR="00BB183E" w:rsidRDefault="00BB183E" w:rsidP="00BD6D04">
            <w:pPr>
              <w:pStyle w:val="ListParagraph"/>
              <w:ind w:left="0"/>
              <w:jc w:val="both"/>
            </w:pPr>
            <w:r>
              <w:t>41</w:t>
            </w:r>
          </w:p>
        </w:tc>
        <w:tc>
          <w:tcPr>
            <w:tcW w:w="1128" w:type="dxa"/>
          </w:tcPr>
          <w:p w:rsidR="00BB183E" w:rsidRDefault="00BB183E" w:rsidP="00BD6D04">
            <w:pPr>
              <w:pStyle w:val="ListParagraph"/>
              <w:ind w:left="0"/>
              <w:jc w:val="both"/>
            </w:pPr>
            <w:r>
              <w:t>40</w:t>
            </w:r>
          </w:p>
        </w:tc>
        <w:tc>
          <w:tcPr>
            <w:tcW w:w="1119" w:type="dxa"/>
          </w:tcPr>
          <w:p w:rsidR="00BB183E" w:rsidRDefault="00BB183E" w:rsidP="00BD6D04">
            <w:pPr>
              <w:pStyle w:val="ListParagraph"/>
              <w:ind w:left="0"/>
              <w:jc w:val="both"/>
            </w:pPr>
            <w:r>
              <w:t>20</w:t>
            </w:r>
          </w:p>
        </w:tc>
      </w:tr>
      <w:tr w:rsidR="00BB183E" w:rsidTr="00BB183E">
        <w:tc>
          <w:tcPr>
            <w:tcW w:w="1143" w:type="dxa"/>
          </w:tcPr>
          <w:p w:rsidR="00BB183E" w:rsidRDefault="00BB183E" w:rsidP="00BD6D04">
            <w:pPr>
              <w:pStyle w:val="ListParagraph"/>
              <w:ind w:left="0"/>
              <w:jc w:val="both"/>
            </w:pPr>
            <w:r>
              <w:t xml:space="preserve"> Above 55</w:t>
            </w:r>
          </w:p>
        </w:tc>
        <w:tc>
          <w:tcPr>
            <w:tcW w:w="1194" w:type="dxa"/>
          </w:tcPr>
          <w:p w:rsidR="00BB183E" w:rsidRDefault="00BB183E" w:rsidP="00BD6D04">
            <w:pPr>
              <w:pStyle w:val="ListParagraph"/>
              <w:ind w:left="0"/>
              <w:jc w:val="both"/>
            </w:pPr>
            <w:r>
              <w:t>24</w:t>
            </w:r>
          </w:p>
        </w:tc>
        <w:tc>
          <w:tcPr>
            <w:tcW w:w="1128" w:type="dxa"/>
          </w:tcPr>
          <w:p w:rsidR="00BB183E" w:rsidRDefault="00BB183E" w:rsidP="00BD6D04">
            <w:pPr>
              <w:pStyle w:val="ListParagraph"/>
              <w:ind w:left="0"/>
              <w:jc w:val="both"/>
            </w:pPr>
            <w:r>
              <w:t>13</w:t>
            </w:r>
          </w:p>
        </w:tc>
        <w:tc>
          <w:tcPr>
            <w:tcW w:w="1119" w:type="dxa"/>
          </w:tcPr>
          <w:p w:rsidR="00BB183E" w:rsidRDefault="00BB183E" w:rsidP="00BD6D04">
            <w:pPr>
              <w:pStyle w:val="ListParagraph"/>
              <w:ind w:left="0"/>
              <w:jc w:val="both"/>
            </w:pPr>
            <w:r>
              <w:t>32</w:t>
            </w:r>
          </w:p>
        </w:tc>
      </w:tr>
    </w:tbl>
    <w:p w:rsidR="00BB183E" w:rsidRDefault="003B2F11" w:rsidP="003B2F11">
      <w:pPr>
        <w:pStyle w:val="ListParagraph"/>
        <w:numPr>
          <w:ilvl w:val="0"/>
          <w:numId w:val="1"/>
        </w:numPr>
        <w:jc w:val="both"/>
      </w:pPr>
      <w:r>
        <w:t>Use the following contingency table and the chi-square test of independence to determine whether social class is independent of number of children in a family. Use 5 percent significance level</w:t>
      </w:r>
    </w:p>
    <w:tbl>
      <w:tblPr>
        <w:tblStyle w:val="TableGrid"/>
        <w:tblW w:w="0" w:type="auto"/>
        <w:tblInd w:w="720" w:type="dxa"/>
        <w:tblLook w:val="04A0"/>
      </w:tblPr>
      <w:tblGrid>
        <w:gridCol w:w="2088"/>
        <w:gridCol w:w="1290"/>
        <w:gridCol w:w="1301"/>
        <w:gridCol w:w="1291"/>
      </w:tblGrid>
      <w:tr w:rsidR="003B2F11" w:rsidTr="003B2F11">
        <w:tc>
          <w:tcPr>
            <w:tcW w:w="2088" w:type="dxa"/>
          </w:tcPr>
          <w:p w:rsidR="003B2F11" w:rsidRDefault="003B2F11" w:rsidP="003B2F11">
            <w:pPr>
              <w:pStyle w:val="ListParagraph"/>
              <w:ind w:left="0"/>
              <w:jc w:val="both"/>
            </w:pPr>
          </w:p>
        </w:tc>
        <w:tc>
          <w:tcPr>
            <w:tcW w:w="3882" w:type="dxa"/>
            <w:gridSpan w:val="3"/>
          </w:tcPr>
          <w:p w:rsidR="003B2F11" w:rsidRDefault="003B2F11" w:rsidP="003B2F11">
            <w:pPr>
              <w:pStyle w:val="ListParagraph"/>
              <w:ind w:left="0"/>
              <w:jc w:val="center"/>
            </w:pPr>
            <w:r>
              <w:t>Social class</w:t>
            </w:r>
          </w:p>
        </w:tc>
      </w:tr>
      <w:tr w:rsidR="008937E8" w:rsidTr="003B2F11">
        <w:tc>
          <w:tcPr>
            <w:tcW w:w="2088" w:type="dxa"/>
          </w:tcPr>
          <w:p w:rsidR="008937E8" w:rsidRDefault="008937E8" w:rsidP="00C75A10">
            <w:pPr>
              <w:pStyle w:val="ListParagraph"/>
              <w:ind w:left="0"/>
              <w:jc w:val="both"/>
            </w:pPr>
            <w:r>
              <w:t xml:space="preserve">Number of children </w:t>
            </w:r>
          </w:p>
        </w:tc>
        <w:tc>
          <w:tcPr>
            <w:tcW w:w="1290" w:type="dxa"/>
          </w:tcPr>
          <w:p w:rsidR="008937E8" w:rsidRDefault="008937E8" w:rsidP="003B2F11">
            <w:pPr>
              <w:pStyle w:val="ListParagraph"/>
              <w:ind w:left="0"/>
              <w:jc w:val="both"/>
            </w:pPr>
            <w:r>
              <w:t xml:space="preserve">Lower </w:t>
            </w:r>
          </w:p>
        </w:tc>
        <w:tc>
          <w:tcPr>
            <w:tcW w:w="1301" w:type="dxa"/>
          </w:tcPr>
          <w:p w:rsidR="008937E8" w:rsidRDefault="008937E8" w:rsidP="003B2F11">
            <w:pPr>
              <w:pStyle w:val="ListParagraph"/>
              <w:ind w:left="0"/>
              <w:jc w:val="both"/>
            </w:pPr>
            <w:r>
              <w:t xml:space="preserve">Middle </w:t>
            </w:r>
          </w:p>
        </w:tc>
        <w:tc>
          <w:tcPr>
            <w:tcW w:w="1291" w:type="dxa"/>
          </w:tcPr>
          <w:p w:rsidR="008937E8" w:rsidRDefault="008937E8" w:rsidP="003B2F11">
            <w:pPr>
              <w:pStyle w:val="ListParagraph"/>
              <w:ind w:left="0"/>
              <w:jc w:val="both"/>
            </w:pPr>
            <w:r>
              <w:t xml:space="preserve">Upper </w:t>
            </w:r>
          </w:p>
        </w:tc>
      </w:tr>
      <w:tr w:rsidR="008937E8" w:rsidTr="003B2F11">
        <w:tc>
          <w:tcPr>
            <w:tcW w:w="2088" w:type="dxa"/>
          </w:tcPr>
          <w:p w:rsidR="008937E8" w:rsidRDefault="008937E8" w:rsidP="00C75A10">
            <w:pPr>
              <w:pStyle w:val="ListParagraph"/>
              <w:ind w:left="0"/>
              <w:jc w:val="both"/>
            </w:pPr>
            <w:r>
              <w:t>0</w:t>
            </w:r>
          </w:p>
        </w:tc>
        <w:tc>
          <w:tcPr>
            <w:tcW w:w="1290" w:type="dxa"/>
          </w:tcPr>
          <w:p w:rsidR="008937E8" w:rsidRDefault="008937E8" w:rsidP="003B2F11">
            <w:pPr>
              <w:pStyle w:val="ListParagraph"/>
              <w:ind w:left="0"/>
              <w:jc w:val="both"/>
            </w:pPr>
            <w:r>
              <w:t>7</w:t>
            </w:r>
          </w:p>
        </w:tc>
        <w:tc>
          <w:tcPr>
            <w:tcW w:w="1301" w:type="dxa"/>
          </w:tcPr>
          <w:p w:rsidR="008937E8" w:rsidRDefault="008937E8" w:rsidP="003B2F11">
            <w:pPr>
              <w:pStyle w:val="ListParagraph"/>
              <w:ind w:left="0"/>
              <w:jc w:val="both"/>
            </w:pPr>
            <w:r>
              <w:t>18</w:t>
            </w:r>
          </w:p>
        </w:tc>
        <w:tc>
          <w:tcPr>
            <w:tcW w:w="1291" w:type="dxa"/>
          </w:tcPr>
          <w:p w:rsidR="008937E8" w:rsidRDefault="008937E8" w:rsidP="003B2F11">
            <w:pPr>
              <w:pStyle w:val="ListParagraph"/>
              <w:ind w:left="0"/>
              <w:jc w:val="both"/>
            </w:pPr>
            <w:r>
              <w:t>6</w:t>
            </w:r>
          </w:p>
        </w:tc>
      </w:tr>
      <w:tr w:rsidR="008937E8" w:rsidTr="003B2F11">
        <w:tc>
          <w:tcPr>
            <w:tcW w:w="2088" w:type="dxa"/>
          </w:tcPr>
          <w:p w:rsidR="008937E8" w:rsidRDefault="008937E8" w:rsidP="00C75A10">
            <w:pPr>
              <w:pStyle w:val="ListParagraph"/>
              <w:ind w:left="0"/>
              <w:jc w:val="both"/>
            </w:pPr>
            <w:r>
              <w:t>1</w:t>
            </w:r>
          </w:p>
        </w:tc>
        <w:tc>
          <w:tcPr>
            <w:tcW w:w="1290" w:type="dxa"/>
          </w:tcPr>
          <w:p w:rsidR="008937E8" w:rsidRDefault="008937E8" w:rsidP="003B2F11">
            <w:pPr>
              <w:pStyle w:val="ListParagraph"/>
              <w:ind w:left="0"/>
              <w:jc w:val="both"/>
            </w:pPr>
            <w:r>
              <w:t>9</w:t>
            </w:r>
          </w:p>
        </w:tc>
        <w:tc>
          <w:tcPr>
            <w:tcW w:w="1301" w:type="dxa"/>
          </w:tcPr>
          <w:p w:rsidR="008937E8" w:rsidRDefault="008937E8" w:rsidP="003B2F11">
            <w:pPr>
              <w:pStyle w:val="ListParagraph"/>
              <w:ind w:left="0"/>
              <w:jc w:val="both"/>
            </w:pPr>
            <w:r>
              <w:t>38</w:t>
            </w:r>
          </w:p>
        </w:tc>
        <w:tc>
          <w:tcPr>
            <w:tcW w:w="1291" w:type="dxa"/>
          </w:tcPr>
          <w:p w:rsidR="008937E8" w:rsidRDefault="008937E8" w:rsidP="003B2F11">
            <w:pPr>
              <w:pStyle w:val="ListParagraph"/>
              <w:ind w:left="0"/>
              <w:jc w:val="both"/>
            </w:pPr>
            <w:r>
              <w:t>23</w:t>
            </w:r>
          </w:p>
        </w:tc>
      </w:tr>
      <w:tr w:rsidR="008937E8" w:rsidTr="003B2F11">
        <w:tc>
          <w:tcPr>
            <w:tcW w:w="2088" w:type="dxa"/>
          </w:tcPr>
          <w:p w:rsidR="008937E8" w:rsidRDefault="008937E8" w:rsidP="00C75A10">
            <w:pPr>
              <w:pStyle w:val="ListParagraph"/>
              <w:ind w:left="0"/>
              <w:jc w:val="both"/>
            </w:pPr>
            <w:r>
              <w:t>2 to 3</w:t>
            </w:r>
          </w:p>
        </w:tc>
        <w:tc>
          <w:tcPr>
            <w:tcW w:w="1290" w:type="dxa"/>
          </w:tcPr>
          <w:p w:rsidR="008937E8" w:rsidRDefault="008937E8" w:rsidP="003B2F11">
            <w:pPr>
              <w:pStyle w:val="ListParagraph"/>
              <w:ind w:left="0"/>
              <w:jc w:val="both"/>
            </w:pPr>
            <w:r>
              <w:t>34</w:t>
            </w:r>
          </w:p>
        </w:tc>
        <w:tc>
          <w:tcPr>
            <w:tcW w:w="1301" w:type="dxa"/>
          </w:tcPr>
          <w:p w:rsidR="008937E8" w:rsidRDefault="008937E8" w:rsidP="003B2F11">
            <w:pPr>
              <w:pStyle w:val="ListParagraph"/>
              <w:ind w:left="0"/>
              <w:jc w:val="both"/>
            </w:pPr>
            <w:r>
              <w:t>97</w:t>
            </w:r>
          </w:p>
        </w:tc>
        <w:tc>
          <w:tcPr>
            <w:tcW w:w="1291" w:type="dxa"/>
          </w:tcPr>
          <w:p w:rsidR="008937E8" w:rsidRDefault="008937E8" w:rsidP="003B2F11">
            <w:pPr>
              <w:pStyle w:val="ListParagraph"/>
              <w:ind w:left="0"/>
              <w:jc w:val="both"/>
            </w:pPr>
            <w:r>
              <w:t>58</w:t>
            </w:r>
          </w:p>
        </w:tc>
      </w:tr>
      <w:tr w:rsidR="008937E8" w:rsidTr="003B2F11">
        <w:tc>
          <w:tcPr>
            <w:tcW w:w="2088" w:type="dxa"/>
          </w:tcPr>
          <w:p w:rsidR="008937E8" w:rsidRDefault="008937E8" w:rsidP="00C75A10">
            <w:pPr>
              <w:pStyle w:val="ListParagraph"/>
              <w:ind w:left="0"/>
              <w:jc w:val="both"/>
            </w:pPr>
            <w:r>
              <w:t>Above 3</w:t>
            </w:r>
          </w:p>
        </w:tc>
        <w:tc>
          <w:tcPr>
            <w:tcW w:w="1290" w:type="dxa"/>
          </w:tcPr>
          <w:p w:rsidR="008937E8" w:rsidRDefault="008937E8" w:rsidP="003B2F11">
            <w:pPr>
              <w:pStyle w:val="ListParagraph"/>
              <w:ind w:left="0"/>
              <w:jc w:val="both"/>
            </w:pPr>
            <w:r>
              <w:t>47</w:t>
            </w:r>
          </w:p>
        </w:tc>
        <w:tc>
          <w:tcPr>
            <w:tcW w:w="1301" w:type="dxa"/>
          </w:tcPr>
          <w:p w:rsidR="008937E8" w:rsidRDefault="008937E8" w:rsidP="003B2F11">
            <w:pPr>
              <w:pStyle w:val="ListParagraph"/>
              <w:ind w:left="0"/>
              <w:jc w:val="both"/>
            </w:pPr>
            <w:r>
              <w:t>31</w:t>
            </w:r>
          </w:p>
        </w:tc>
        <w:tc>
          <w:tcPr>
            <w:tcW w:w="1291" w:type="dxa"/>
          </w:tcPr>
          <w:p w:rsidR="008937E8" w:rsidRDefault="008937E8" w:rsidP="003B2F11">
            <w:pPr>
              <w:pStyle w:val="ListParagraph"/>
              <w:ind w:left="0"/>
              <w:jc w:val="both"/>
            </w:pPr>
            <w:r>
              <w:t>30</w:t>
            </w:r>
          </w:p>
        </w:tc>
      </w:tr>
    </w:tbl>
    <w:p w:rsidR="003B2F11" w:rsidRDefault="00ED59A2" w:rsidP="00ED59A2">
      <w:pPr>
        <w:pStyle w:val="ListParagraph"/>
        <w:numPr>
          <w:ilvl w:val="0"/>
          <w:numId w:val="1"/>
        </w:numPr>
        <w:jc w:val="both"/>
      </w:pPr>
      <w:r>
        <w:t>Is the transportation mode used to ship goods is independent of type of industry? Suppose the following contingency table represents frequency counts of types of transportation used by the publishing and the computer hardware industries. Analyze the data by using the chi-square test of independence to determine whether type of industry is independent of transportation mode. Use 5% level of significance.</w:t>
      </w:r>
    </w:p>
    <w:tbl>
      <w:tblPr>
        <w:tblStyle w:val="TableGrid"/>
        <w:tblW w:w="0" w:type="auto"/>
        <w:tblInd w:w="720" w:type="dxa"/>
        <w:tblLook w:val="04A0"/>
      </w:tblPr>
      <w:tblGrid>
        <w:gridCol w:w="1489"/>
        <w:gridCol w:w="2039"/>
        <w:gridCol w:w="1589"/>
        <w:gridCol w:w="1442"/>
        <w:gridCol w:w="1449"/>
      </w:tblGrid>
      <w:tr w:rsidR="00ED59A2" w:rsidTr="00ED59A2">
        <w:tc>
          <w:tcPr>
            <w:tcW w:w="1489" w:type="dxa"/>
          </w:tcPr>
          <w:p w:rsidR="00ED59A2" w:rsidRDefault="00ED59A2" w:rsidP="00ED59A2">
            <w:pPr>
              <w:pStyle w:val="ListParagraph"/>
              <w:ind w:left="0"/>
              <w:jc w:val="both"/>
            </w:pPr>
          </w:p>
        </w:tc>
        <w:tc>
          <w:tcPr>
            <w:tcW w:w="2039" w:type="dxa"/>
          </w:tcPr>
          <w:p w:rsidR="00ED59A2" w:rsidRDefault="00ED59A2" w:rsidP="00ED59A2">
            <w:pPr>
              <w:pStyle w:val="ListParagraph"/>
              <w:ind w:left="0"/>
              <w:jc w:val="both"/>
            </w:pPr>
          </w:p>
        </w:tc>
        <w:tc>
          <w:tcPr>
            <w:tcW w:w="4480" w:type="dxa"/>
            <w:gridSpan w:val="3"/>
          </w:tcPr>
          <w:p w:rsidR="00ED59A2" w:rsidRDefault="00ED59A2" w:rsidP="00ED59A2">
            <w:pPr>
              <w:pStyle w:val="ListParagraph"/>
              <w:ind w:left="0"/>
              <w:jc w:val="center"/>
            </w:pPr>
            <w:r>
              <w:t>Transportation</w:t>
            </w:r>
          </w:p>
        </w:tc>
      </w:tr>
      <w:tr w:rsidR="00ED59A2" w:rsidTr="00ED59A2">
        <w:tc>
          <w:tcPr>
            <w:tcW w:w="1489" w:type="dxa"/>
          </w:tcPr>
          <w:p w:rsidR="00ED59A2" w:rsidRDefault="00ED59A2" w:rsidP="00ED59A2">
            <w:pPr>
              <w:pStyle w:val="ListParagraph"/>
              <w:ind w:left="0"/>
              <w:jc w:val="both"/>
            </w:pPr>
          </w:p>
        </w:tc>
        <w:tc>
          <w:tcPr>
            <w:tcW w:w="2039" w:type="dxa"/>
          </w:tcPr>
          <w:p w:rsidR="00ED59A2" w:rsidRDefault="00ED59A2" w:rsidP="00ED59A2">
            <w:pPr>
              <w:pStyle w:val="ListParagraph"/>
              <w:ind w:left="0"/>
              <w:jc w:val="both"/>
            </w:pPr>
          </w:p>
        </w:tc>
        <w:tc>
          <w:tcPr>
            <w:tcW w:w="1589" w:type="dxa"/>
          </w:tcPr>
          <w:p w:rsidR="00ED59A2" w:rsidRDefault="00ED59A2" w:rsidP="00ED59A2">
            <w:pPr>
              <w:pStyle w:val="ListParagraph"/>
              <w:ind w:left="0"/>
              <w:jc w:val="both"/>
            </w:pPr>
            <w:r>
              <w:t xml:space="preserve">Air </w:t>
            </w:r>
          </w:p>
        </w:tc>
        <w:tc>
          <w:tcPr>
            <w:tcW w:w="1442" w:type="dxa"/>
          </w:tcPr>
          <w:p w:rsidR="00ED59A2" w:rsidRDefault="00ED59A2" w:rsidP="00ED59A2">
            <w:pPr>
              <w:pStyle w:val="ListParagraph"/>
              <w:ind w:left="0"/>
              <w:jc w:val="both"/>
            </w:pPr>
            <w:r>
              <w:t xml:space="preserve">Train </w:t>
            </w:r>
          </w:p>
        </w:tc>
        <w:tc>
          <w:tcPr>
            <w:tcW w:w="1449" w:type="dxa"/>
          </w:tcPr>
          <w:p w:rsidR="00ED59A2" w:rsidRDefault="00ED59A2" w:rsidP="00ED59A2">
            <w:pPr>
              <w:pStyle w:val="ListParagraph"/>
              <w:ind w:left="0"/>
              <w:jc w:val="both"/>
            </w:pPr>
            <w:r>
              <w:t xml:space="preserve">Truck </w:t>
            </w:r>
          </w:p>
        </w:tc>
      </w:tr>
      <w:tr w:rsidR="00ED59A2" w:rsidTr="00ED59A2">
        <w:tc>
          <w:tcPr>
            <w:tcW w:w="1489" w:type="dxa"/>
            <w:vMerge w:val="restart"/>
          </w:tcPr>
          <w:p w:rsidR="00ED59A2" w:rsidRDefault="00ED59A2" w:rsidP="00ED59A2">
            <w:pPr>
              <w:pStyle w:val="ListParagraph"/>
              <w:ind w:left="0"/>
              <w:jc w:val="both"/>
            </w:pPr>
            <w:r>
              <w:t xml:space="preserve">Industry </w:t>
            </w:r>
          </w:p>
        </w:tc>
        <w:tc>
          <w:tcPr>
            <w:tcW w:w="2039" w:type="dxa"/>
          </w:tcPr>
          <w:p w:rsidR="00ED59A2" w:rsidRDefault="00ED59A2" w:rsidP="00ED59A2">
            <w:pPr>
              <w:pStyle w:val="ListParagraph"/>
              <w:ind w:left="0"/>
              <w:jc w:val="both"/>
            </w:pPr>
            <w:r>
              <w:t xml:space="preserve">Publishing </w:t>
            </w:r>
          </w:p>
        </w:tc>
        <w:tc>
          <w:tcPr>
            <w:tcW w:w="1589" w:type="dxa"/>
          </w:tcPr>
          <w:p w:rsidR="00ED59A2" w:rsidRDefault="00ED59A2" w:rsidP="00ED59A2">
            <w:pPr>
              <w:pStyle w:val="ListParagraph"/>
              <w:ind w:left="0"/>
              <w:jc w:val="both"/>
            </w:pPr>
            <w:r>
              <w:t>32</w:t>
            </w:r>
          </w:p>
        </w:tc>
        <w:tc>
          <w:tcPr>
            <w:tcW w:w="1442" w:type="dxa"/>
          </w:tcPr>
          <w:p w:rsidR="00ED59A2" w:rsidRDefault="00ED59A2" w:rsidP="00ED59A2">
            <w:pPr>
              <w:pStyle w:val="ListParagraph"/>
              <w:ind w:left="0"/>
              <w:jc w:val="both"/>
            </w:pPr>
            <w:r>
              <w:t>12</w:t>
            </w:r>
          </w:p>
        </w:tc>
        <w:tc>
          <w:tcPr>
            <w:tcW w:w="1449" w:type="dxa"/>
          </w:tcPr>
          <w:p w:rsidR="00ED59A2" w:rsidRDefault="00ED59A2" w:rsidP="00ED59A2">
            <w:pPr>
              <w:pStyle w:val="ListParagraph"/>
              <w:ind w:left="0"/>
              <w:jc w:val="both"/>
            </w:pPr>
            <w:r>
              <w:t>41</w:t>
            </w:r>
          </w:p>
        </w:tc>
      </w:tr>
      <w:tr w:rsidR="00ED59A2" w:rsidTr="00ED59A2">
        <w:tc>
          <w:tcPr>
            <w:tcW w:w="1489" w:type="dxa"/>
            <w:vMerge/>
          </w:tcPr>
          <w:p w:rsidR="00ED59A2" w:rsidRDefault="00ED59A2" w:rsidP="00ED59A2">
            <w:pPr>
              <w:pStyle w:val="ListParagraph"/>
              <w:ind w:left="0"/>
              <w:jc w:val="both"/>
            </w:pPr>
          </w:p>
        </w:tc>
        <w:tc>
          <w:tcPr>
            <w:tcW w:w="2039" w:type="dxa"/>
          </w:tcPr>
          <w:p w:rsidR="00ED59A2" w:rsidRDefault="00ED59A2" w:rsidP="00ED59A2">
            <w:pPr>
              <w:pStyle w:val="ListParagraph"/>
              <w:ind w:left="0"/>
              <w:jc w:val="both"/>
            </w:pPr>
            <w:r>
              <w:t xml:space="preserve">Computer hardware </w:t>
            </w:r>
          </w:p>
        </w:tc>
        <w:tc>
          <w:tcPr>
            <w:tcW w:w="1589" w:type="dxa"/>
          </w:tcPr>
          <w:p w:rsidR="00ED59A2" w:rsidRDefault="00ED59A2" w:rsidP="00ED59A2">
            <w:pPr>
              <w:pStyle w:val="ListParagraph"/>
              <w:ind w:left="0"/>
              <w:jc w:val="both"/>
            </w:pPr>
            <w:r>
              <w:t>5</w:t>
            </w:r>
          </w:p>
        </w:tc>
        <w:tc>
          <w:tcPr>
            <w:tcW w:w="1442" w:type="dxa"/>
          </w:tcPr>
          <w:p w:rsidR="00ED59A2" w:rsidRDefault="00ED59A2" w:rsidP="00ED59A2">
            <w:pPr>
              <w:pStyle w:val="ListParagraph"/>
              <w:ind w:left="0"/>
              <w:jc w:val="both"/>
            </w:pPr>
            <w:r>
              <w:t>6</w:t>
            </w:r>
          </w:p>
        </w:tc>
        <w:tc>
          <w:tcPr>
            <w:tcW w:w="1449" w:type="dxa"/>
          </w:tcPr>
          <w:p w:rsidR="00ED59A2" w:rsidRDefault="00ED59A2" w:rsidP="00ED59A2">
            <w:pPr>
              <w:pStyle w:val="ListParagraph"/>
              <w:ind w:left="0"/>
              <w:jc w:val="both"/>
            </w:pPr>
            <w:r>
              <w:t>24</w:t>
            </w:r>
          </w:p>
        </w:tc>
      </w:tr>
    </w:tbl>
    <w:p w:rsidR="00ED59A2" w:rsidRDefault="009E41B8" w:rsidP="009E41B8">
      <w:pPr>
        <w:pStyle w:val="ListParagraph"/>
        <w:numPr>
          <w:ilvl w:val="0"/>
          <w:numId w:val="1"/>
        </w:numPr>
        <w:jc w:val="both"/>
      </w:pPr>
      <w:r>
        <w:t>A study was conducted to determine the impact of major Mexican peso devaluation on U.S. border retailers. As a part of the study, data were gathered on the magnitude of business that U.S border retailers were doing with Mexican citizens. Forty-one shoppers of border city department stores were interviewed; 24 were Mexican citizens, and the rest were U.S. citizens. Thirty five discount store shoppers were interviewed, as were 30 hardware store and 60 shoe store customers. In these three groups, 20, 11, and 32 were Mexican, and the remaining shoppers were U.S. citizens. Use Chi-Square contingency analysis to determine whether the shoppers’ citizenship (Mexican versus American) is independent of type of border city retailer (department, discount, hardware, and shoe) for these data. Use 5 percent significance level.</w:t>
      </w:r>
    </w:p>
    <w:p w:rsidR="009E41B8" w:rsidRDefault="009E41B8" w:rsidP="003807A5">
      <w:pPr>
        <w:pStyle w:val="ListParagraph"/>
        <w:jc w:val="both"/>
      </w:pPr>
    </w:p>
    <w:p w:rsidR="002E4054" w:rsidRDefault="002E4054" w:rsidP="003807A5">
      <w:pPr>
        <w:pStyle w:val="ListParagraph"/>
        <w:jc w:val="both"/>
      </w:pPr>
    </w:p>
    <w:p w:rsidR="00302A2F" w:rsidRPr="002E4054" w:rsidRDefault="002E4054" w:rsidP="002E4054">
      <w:pPr>
        <w:tabs>
          <w:tab w:val="left" w:pos="4082"/>
        </w:tabs>
      </w:pPr>
      <w:r>
        <w:tab/>
      </w:r>
    </w:p>
    <w:sectPr w:rsidR="00302A2F" w:rsidRPr="002E4054" w:rsidSect="00C12B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9D2" w:rsidRDefault="006E29D2" w:rsidP="005B2F05">
      <w:pPr>
        <w:pStyle w:val="ListParagraph"/>
        <w:spacing w:after="0" w:line="240" w:lineRule="auto"/>
      </w:pPr>
      <w:r>
        <w:separator/>
      </w:r>
    </w:p>
  </w:endnote>
  <w:endnote w:type="continuationSeparator" w:id="1">
    <w:p w:rsidR="006E29D2" w:rsidRDefault="006E29D2" w:rsidP="005B2F05">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0344"/>
      <w:docPartObj>
        <w:docPartGallery w:val="Page Numbers (Bottom of Page)"/>
        <w:docPartUnique/>
      </w:docPartObj>
    </w:sdtPr>
    <w:sdtContent>
      <w:sdt>
        <w:sdtPr>
          <w:id w:val="565050477"/>
          <w:docPartObj>
            <w:docPartGallery w:val="Page Numbers (Top of Page)"/>
            <w:docPartUnique/>
          </w:docPartObj>
        </w:sdtPr>
        <w:sdtContent>
          <w:p w:rsidR="003807A5" w:rsidRDefault="003807A5">
            <w:pPr>
              <w:pStyle w:val="Footer"/>
              <w:jc w:val="center"/>
            </w:pPr>
            <w:r>
              <w:t xml:space="preserve">Page </w:t>
            </w:r>
            <w:r w:rsidR="00D87FD5">
              <w:rPr>
                <w:b/>
                <w:sz w:val="24"/>
                <w:szCs w:val="24"/>
              </w:rPr>
              <w:fldChar w:fldCharType="begin"/>
            </w:r>
            <w:r>
              <w:rPr>
                <w:b/>
              </w:rPr>
              <w:instrText xml:space="preserve"> PAGE </w:instrText>
            </w:r>
            <w:r w:rsidR="00D87FD5">
              <w:rPr>
                <w:b/>
                <w:sz w:val="24"/>
                <w:szCs w:val="24"/>
              </w:rPr>
              <w:fldChar w:fldCharType="separate"/>
            </w:r>
            <w:r w:rsidR="002E4054">
              <w:rPr>
                <w:b/>
                <w:noProof/>
              </w:rPr>
              <w:t>1</w:t>
            </w:r>
            <w:r w:rsidR="00D87FD5">
              <w:rPr>
                <w:b/>
                <w:sz w:val="24"/>
                <w:szCs w:val="24"/>
              </w:rPr>
              <w:fldChar w:fldCharType="end"/>
            </w:r>
            <w:r>
              <w:t xml:space="preserve"> of </w:t>
            </w:r>
            <w:r w:rsidR="00D87FD5">
              <w:rPr>
                <w:b/>
                <w:sz w:val="24"/>
                <w:szCs w:val="24"/>
              </w:rPr>
              <w:fldChar w:fldCharType="begin"/>
            </w:r>
            <w:r>
              <w:rPr>
                <w:b/>
              </w:rPr>
              <w:instrText xml:space="preserve"> NUMPAGES  </w:instrText>
            </w:r>
            <w:r w:rsidR="00D87FD5">
              <w:rPr>
                <w:b/>
                <w:sz w:val="24"/>
                <w:szCs w:val="24"/>
              </w:rPr>
              <w:fldChar w:fldCharType="separate"/>
            </w:r>
            <w:r w:rsidR="002E4054">
              <w:rPr>
                <w:b/>
                <w:noProof/>
              </w:rPr>
              <w:t>1</w:t>
            </w:r>
            <w:r w:rsidR="00D87FD5">
              <w:rPr>
                <w:b/>
                <w:sz w:val="24"/>
                <w:szCs w:val="24"/>
              </w:rPr>
              <w:fldChar w:fldCharType="end"/>
            </w:r>
          </w:p>
        </w:sdtContent>
      </w:sdt>
    </w:sdtContent>
  </w:sdt>
  <w:p w:rsidR="003807A5" w:rsidRDefault="003807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9D2" w:rsidRDefault="006E29D2" w:rsidP="005B2F05">
      <w:pPr>
        <w:pStyle w:val="ListParagraph"/>
        <w:spacing w:after="0" w:line="240" w:lineRule="auto"/>
      </w:pPr>
      <w:r>
        <w:separator/>
      </w:r>
    </w:p>
  </w:footnote>
  <w:footnote w:type="continuationSeparator" w:id="1">
    <w:p w:rsidR="006E29D2" w:rsidRDefault="006E29D2" w:rsidP="005B2F05">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F05" w:rsidRDefault="005B2F05">
    <w:pPr>
      <w:pStyle w:val="Header"/>
    </w:pPr>
    <w:r>
      <w:t>Unit</w:t>
    </w:r>
    <w:r w:rsidR="003807A5">
      <w:t>: 9</w:t>
    </w:r>
    <w:r>
      <w:t xml:space="preserve"> A</w:t>
    </w:r>
    <w:r w:rsidR="00505E84">
      <w:t>nalysis of Categorical data Using Chi-Square 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45D2E"/>
    <w:multiLevelType w:val="hybridMultilevel"/>
    <w:tmpl w:val="C0D6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52E2C"/>
    <w:rsid w:val="0008189E"/>
    <w:rsid w:val="00244BEC"/>
    <w:rsid w:val="002558A0"/>
    <w:rsid w:val="002D438C"/>
    <w:rsid w:val="002E4054"/>
    <w:rsid w:val="00302A2F"/>
    <w:rsid w:val="00344C22"/>
    <w:rsid w:val="003807A5"/>
    <w:rsid w:val="003B2F11"/>
    <w:rsid w:val="003C5612"/>
    <w:rsid w:val="00505E84"/>
    <w:rsid w:val="005B2F05"/>
    <w:rsid w:val="00632F06"/>
    <w:rsid w:val="006734F0"/>
    <w:rsid w:val="006E29D2"/>
    <w:rsid w:val="00742128"/>
    <w:rsid w:val="007457E7"/>
    <w:rsid w:val="00752E2C"/>
    <w:rsid w:val="007E37AD"/>
    <w:rsid w:val="007F5210"/>
    <w:rsid w:val="00801EDD"/>
    <w:rsid w:val="008937E8"/>
    <w:rsid w:val="008B5E7C"/>
    <w:rsid w:val="009E41B8"/>
    <w:rsid w:val="00A62271"/>
    <w:rsid w:val="00A6464C"/>
    <w:rsid w:val="00AF1730"/>
    <w:rsid w:val="00B35C12"/>
    <w:rsid w:val="00BB183E"/>
    <w:rsid w:val="00BD6D04"/>
    <w:rsid w:val="00C12B47"/>
    <w:rsid w:val="00CD4948"/>
    <w:rsid w:val="00D87FD5"/>
    <w:rsid w:val="00ED59A2"/>
    <w:rsid w:val="00F0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28"/>
    <w:pPr>
      <w:ind w:left="720"/>
      <w:contextualSpacing/>
    </w:pPr>
  </w:style>
  <w:style w:type="table" w:styleId="TableGrid">
    <w:name w:val="Table Grid"/>
    <w:basedOn w:val="TableNormal"/>
    <w:uiPriority w:val="59"/>
    <w:rsid w:val="00A622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B2F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2F05"/>
  </w:style>
  <w:style w:type="paragraph" w:styleId="Footer">
    <w:name w:val="footer"/>
    <w:basedOn w:val="Normal"/>
    <w:link w:val="FooterChar"/>
    <w:uiPriority w:val="99"/>
    <w:unhideWhenUsed/>
    <w:rsid w:val="005B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cp:lastPrinted>2016-02-01T04:06:00Z</cp:lastPrinted>
  <dcterms:created xsi:type="dcterms:W3CDTF">2017-12-24T04:33:00Z</dcterms:created>
  <dcterms:modified xsi:type="dcterms:W3CDTF">2017-12-24T04:33:00Z</dcterms:modified>
</cp:coreProperties>
</file>