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CCA" w:rsidRPr="00730CCA" w:rsidRDefault="00730CCA" w:rsidP="00730CCA">
      <w:pPr>
        <w:pStyle w:val="Title"/>
        <w:jc w:val="center"/>
        <w:rPr>
          <w:sz w:val="48"/>
          <w:szCs w:val="48"/>
        </w:rPr>
      </w:pPr>
      <w:r w:rsidRPr="00730CCA">
        <w:rPr>
          <w:sz w:val="48"/>
          <w:szCs w:val="48"/>
        </w:rPr>
        <w:t>Paprastųjų diferencialinių lygčių sprendimas</w:t>
      </w:r>
    </w:p>
    <w:p w:rsidR="00FF6452" w:rsidRDefault="00730CCA" w:rsidP="00730CCA">
      <w:pPr>
        <w:pStyle w:val="Heading1"/>
      </w:pPr>
      <w:r>
        <w:t>Užduotis</w:t>
      </w:r>
    </w:p>
    <w:p w:rsidR="00730CCA" w:rsidRDefault="00730CCA" w:rsidP="00730CCA">
      <w:pPr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𝑚</w:t>
      </w:r>
      <w:r>
        <w:t xml:space="preserve"> </w:t>
      </w:r>
      <w:r>
        <w:rPr>
          <w:rFonts w:ascii="Times New Roman" w:hAnsi="Times New Roman" w:cs="Times New Roman"/>
        </w:rPr>
        <w:t xml:space="preserve">masės sviedinys iššaunamas vertikaliai į viršų pradiniu greičiu </w:t>
      </w:r>
      <w:r>
        <w:rPr>
          <w:rFonts w:ascii="Cambria Math" w:hAnsi="Cambria Math" w:cs="Cambria Math"/>
        </w:rPr>
        <w:t>𝑣</w:t>
      </w:r>
      <w:r>
        <w:rPr>
          <w:sz w:val="16"/>
          <w:szCs w:val="16"/>
        </w:rPr>
        <w:t xml:space="preserve">0 </w:t>
      </w:r>
      <w:r>
        <w:rPr>
          <w:rFonts w:ascii="Times New Roman" w:hAnsi="Times New Roman" w:cs="Times New Roman"/>
        </w:rPr>
        <w:t xml:space="preserve">iš aukščio </w:t>
      </w:r>
      <w:r>
        <w:rPr>
          <w:rFonts w:ascii="Cambria Math" w:hAnsi="Cambria Math" w:cs="Cambria Math"/>
        </w:rPr>
        <w:t>ℎ</w:t>
      </w:r>
      <w:r>
        <w:rPr>
          <w:sz w:val="16"/>
          <w:szCs w:val="16"/>
        </w:rPr>
        <w:t>0</w:t>
      </w:r>
      <w:r>
        <w:rPr>
          <w:rFonts w:ascii="Times New Roman" w:hAnsi="Times New Roman" w:cs="Times New Roman"/>
        </w:rPr>
        <w:t xml:space="preserve">. Žinoma, kad oro pasipriešinimas proporcingas sviedinio greičio kvadratui, o proporcingumo koeficientas lygus </w:t>
      </w:r>
      <w:r>
        <w:rPr>
          <w:rFonts w:ascii="Cambria Math" w:hAnsi="Cambria Math" w:cs="Cambria Math"/>
        </w:rPr>
        <w:t>𝑘</w:t>
      </w:r>
      <w:r>
        <w:rPr>
          <w:sz w:val="16"/>
          <w:szCs w:val="16"/>
        </w:rPr>
        <w:t>1</w:t>
      </w:r>
      <w:r>
        <w:rPr>
          <w:rFonts w:ascii="Times New Roman" w:hAnsi="Times New Roman" w:cs="Times New Roman"/>
        </w:rPr>
        <w:t xml:space="preserve">, kai sviedinys kyla, ir </w:t>
      </w:r>
      <w:r>
        <w:rPr>
          <w:rFonts w:ascii="Cambria Math" w:hAnsi="Cambria Math" w:cs="Cambria Math"/>
        </w:rPr>
        <w:t>𝑘</w:t>
      </w:r>
      <w:r>
        <w:rPr>
          <w:sz w:val="16"/>
          <w:szCs w:val="16"/>
        </w:rPr>
        <w:t>2</w:t>
      </w:r>
      <w:r>
        <w:rPr>
          <w:rFonts w:ascii="Times New Roman" w:hAnsi="Times New Roman" w:cs="Times New Roman"/>
        </w:rPr>
        <w:t>, kai sviedinys leidžiasi. Kokį maksimalų aukštį ir kada pasieks sviedinys? Kada sviedinys nusileis ant žemės?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CCA" w:rsidTr="00730CCA">
        <w:tc>
          <w:tcPr>
            <w:tcW w:w="1870" w:type="dxa"/>
          </w:tcPr>
          <w:p w:rsidR="00730CCA" w:rsidRDefault="00730CCA" w:rsidP="00730CCA">
            <w:r>
              <w:t>m, kg</w:t>
            </w:r>
          </w:p>
        </w:tc>
        <w:tc>
          <w:tcPr>
            <w:tcW w:w="1870" w:type="dxa"/>
          </w:tcPr>
          <w:p w:rsidR="00730CCA" w:rsidRPr="00730CCA" w:rsidRDefault="00730CCA" w:rsidP="00730CCA">
            <w:r>
              <w:t>v</w:t>
            </w:r>
            <w:r>
              <w:rPr>
                <w:vertAlign w:val="subscript"/>
              </w:rPr>
              <w:t>0</w:t>
            </w:r>
            <w:r>
              <w:t>, m/s</w:t>
            </w:r>
          </w:p>
        </w:tc>
        <w:tc>
          <w:tcPr>
            <w:tcW w:w="1870" w:type="dxa"/>
          </w:tcPr>
          <w:p w:rsidR="00730CCA" w:rsidRPr="00730CCA" w:rsidRDefault="00730CCA" w:rsidP="00730CCA">
            <w:r>
              <w:t>h</w:t>
            </w:r>
            <w:r>
              <w:rPr>
                <w:vertAlign w:val="subscript"/>
              </w:rPr>
              <w:t>0</w:t>
            </w:r>
            <w:r>
              <w:t>, m</w:t>
            </w:r>
          </w:p>
        </w:tc>
        <w:tc>
          <w:tcPr>
            <w:tcW w:w="1870" w:type="dxa"/>
          </w:tcPr>
          <w:p w:rsidR="00730CCA" w:rsidRPr="00730CCA" w:rsidRDefault="00730CCA" w:rsidP="00730CCA">
            <w:r>
              <w:t>k</w:t>
            </w:r>
            <w:r>
              <w:rPr>
                <w:vertAlign w:val="subscript"/>
              </w:rPr>
              <w:t>1</w:t>
            </w:r>
            <w:r>
              <w:t>, kg/m</w:t>
            </w:r>
          </w:p>
        </w:tc>
        <w:tc>
          <w:tcPr>
            <w:tcW w:w="1870" w:type="dxa"/>
          </w:tcPr>
          <w:p w:rsidR="00730CCA" w:rsidRPr="00730CCA" w:rsidRDefault="00730CCA" w:rsidP="00730CCA">
            <w:r>
              <w:t>k</w:t>
            </w:r>
            <w:r>
              <w:rPr>
                <w:vertAlign w:val="subscript"/>
              </w:rPr>
              <w:t>2</w:t>
            </w:r>
            <w:r>
              <w:t>, kg/m</w:t>
            </w:r>
          </w:p>
        </w:tc>
      </w:tr>
      <w:tr w:rsidR="00730CCA" w:rsidTr="00730CCA">
        <w:tc>
          <w:tcPr>
            <w:tcW w:w="1870" w:type="dxa"/>
          </w:tcPr>
          <w:p w:rsidR="00730CCA" w:rsidRDefault="00730CCA" w:rsidP="00730CCA">
            <w:r>
              <w:t>5</w:t>
            </w:r>
          </w:p>
        </w:tc>
        <w:tc>
          <w:tcPr>
            <w:tcW w:w="1870" w:type="dxa"/>
          </w:tcPr>
          <w:p w:rsidR="00730CCA" w:rsidRDefault="00730CCA" w:rsidP="00730CCA">
            <w:r>
              <w:t>80</w:t>
            </w:r>
          </w:p>
        </w:tc>
        <w:tc>
          <w:tcPr>
            <w:tcW w:w="1870" w:type="dxa"/>
          </w:tcPr>
          <w:p w:rsidR="00730CCA" w:rsidRDefault="00730CCA" w:rsidP="00730CCA">
            <w:r>
              <w:t>5</w:t>
            </w:r>
          </w:p>
        </w:tc>
        <w:tc>
          <w:tcPr>
            <w:tcW w:w="1870" w:type="dxa"/>
          </w:tcPr>
          <w:p w:rsidR="00730CCA" w:rsidRDefault="00730CCA" w:rsidP="00730CCA">
            <w:r>
              <w:t>0,15</w:t>
            </w:r>
          </w:p>
        </w:tc>
        <w:tc>
          <w:tcPr>
            <w:tcW w:w="1870" w:type="dxa"/>
          </w:tcPr>
          <w:p w:rsidR="00730CCA" w:rsidRDefault="00730CCA" w:rsidP="00730CCA">
            <w:r>
              <w:t>0,6</w:t>
            </w:r>
          </w:p>
        </w:tc>
      </w:tr>
    </w:tbl>
    <w:p w:rsidR="00730CCA" w:rsidRDefault="00730CCA" w:rsidP="00730CCA"/>
    <w:p w:rsidR="00730CCA" w:rsidRDefault="00730CCA" w:rsidP="00730CCA">
      <w:pPr>
        <w:pStyle w:val="Heading1"/>
      </w:pPr>
      <w:r>
        <w:t>Uždavinio sprendimas</w:t>
      </w:r>
    </w:p>
    <w:p w:rsidR="00730CCA" w:rsidRDefault="00697B9B" w:rsidP="00730CCA">
      <w:r>
        <w:t>Uždavinio sprendimui naudojam</w:t>
      </w:r>
      <w:r w:rsidR="005B03E9">
        <w:t>i Niutono dinamikos dėsniai. Iš šių dėsnių galima išsireikšti tokias formules judančio kuno matematiniui modeliui apskaičiuoti:</w:t>
      </w:r>
    </w:p>
    <w:p w:rsidR="00F54D1A" w:rsidRPr="00F54D1A" w:rsidRDefault="00F54D1A" w:rsidP="00730CC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mg-k*v*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 -f(t,v,s)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=v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              -g(t,v,s)</m:t>
                  </m:r>
                </m:e>
              </m:eqArr>
            </m:e>
          </m:d>
        </m:oMath>
      </m:oMathPara>
    </w:p>
    <w:p w:rsidR="00F54D1A" w:rsidRDefault="00F54D1A" w:rsidP="00730CCA">
      <w:pPr>
        <w:rPr>
          <w:rFonts w:eastAsiaTheme="minorEastAsia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š šių formulių išreiškiamos šios lygtys:</w:t>
      </w:r>
    </w:p>
    <w:p w:rsidR="00F54D1A" w:rsidRPr="000F4EE2" w:rsidRDefault="000F4EE2" w:rsidP="00730C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+∆t*f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0F4EE2" w:rsidRPr="000F4EE2" w:rsidRDefault="000F4EE2" w:rsidP="00730CCA">
      <w:pPr>
        <w:rPr>
          <w:rFonts w:eastAsiaTheme="minorEastAsia"/>
        </w:rPr>
      </w:pPr>
    </w:p>
    <w:p w:rsidR="000F4EE2" w:rsidRPr="000F4EE2" w:rsidRDefault="000F4EE2" w:rsidP="00730C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+∆t*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0F4EE2" w:rsidRDefault="000F4EE2" w:rsidP="00730CCA">
      <w:pPr>
        <w:rPr>
          <w:rFonts w:eastAsiaTheme="minorEastAsia"/>
        </w:rPr>
      </w:pPr>
      <w:r>
        <w:rPr>
          <w:rFonts w:eastAsiaTheme="minorEastAsia"/>
        </w:rPr>
        <w:t>Toliau apskaičiuojami rezultatai ir nubraižomi grafikai.</w:t>
      </w:r>
    </w:p>
    <w:p w:rsidR="000F4EE2" w:rsidRDefault="000F4EE2" w:rsidP="00730CC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6012180" cy="37721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81" cy="38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EE2" w:rsidRDefault="000F4EE2" w:rsidP="00D24691">
      <w:r>
        <w:t xml:space="preserve">Gauti rezultatai:  kai </w:t>
      </w:r>
      <w:r>
        <w:rPr>
          <w:rFonts w:cstheme="minorHAnsi"/>
        </w:rPr>
        <w:t>Δ</w:t>
      </w:r>
      <w:r>
        <w:t xml:space="preserve">t </w:t>
      </w:r>
      <w:r>
        <w:rPr>
          <w:lang w:val="en-US"/>
        </w:rPr>
        <w:t xml:space="preserve">= 0.1, </w:t>
      </w:r>
      <w:r>
        <w:t>maksimalus pasiektas aukštis yra 53,4891177 m, pasiektas po 2.3 sekundžių, o žemę pasiekė po 9 sekundžių.</w:t>
      </w:r>
      <w:r w:rsidR="00D24691">
        <w:t xml:space="preserve"> Šie rezultatai atitinka ir atvaizduotą grafiką.</w:t>
      </w:r>
    </w:p>
    <w:p w:rsidR="00D24691" w:rsidRDefault="00D24691">
      <w:pPr>
        <w:spacing w:line="259" w:lineRule="auto"/>
      </w:pPr>
      <w:r>
        <w:br w:type="page"/>
      </w:r>
    </w:p>
    <w:p w:rsidR="00D24691" w:rsidRDefault="00D24691" w:rsidP="00D2469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Sprendimo rezultatų tikslumo ir metodo stabilumo tyrimas</w:t>
      </w:r>
    </w:p>
    <w:p w:rsidR="00D24691" w:rsidRDefault="00D24691" w:rsidP="00D24691">
      <w:pPr>
        <w:pStyle w:val="Heading2"/>
      </w:pPr>
      <w:r>
        <w:t>Tikslumo tyrimas</w:t>
      </w:r>
    </w:p>
    <w:p w:rsidR="00D24691" w:rsidRPr="00D24691" w:rsidRDefault="00D24691" w:rsidP="00D24691">
      <w:pPr>
        <w:rPr>
          <w:lang w:val="en-US"/>
        </w:rPr>
      </w:pPr>
      <w:r>
        <w:t xml:space="preserve">Tikslumo tyrimas buvo atliktas palyginant grafikus sprendžiant uždavinį su skirtingais </w:t>
      </w:r>
      <w:r>
        <w:rPr>
          <w:rFonts w:cstheme="minorHAnsi"/>
        </w:rPr>
        <w:t>Δ</w:t>
      </w:r>
      <w:r>
        <w:t>t</w:t>
      </w:r>
      <w:r>
        <w:t xml:space="preserve">. Buvo pasirinkta </w:t>
      </w:r>
      <w:r>
        <w:rPr>
          <w:rFonts w:cstheme="minorHAnsi"/>
        </w:rPr>
        <w:t>Δ</w:t>
      </w:r>
      <w:r>
        <w:t>t</w:t>
      </w:r>
      <w:r>
        <w:t xml:space="preserve"> </w:t>
      </w:r>
      <w:r>
        <w:rPr>
          <w:lang w:val="en-US"/>
        </w:rPr>
        <w:t xml:space="preserve">= 0.05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r>
        <w:rPr>
          <w:rFonts w:cstheme="minorHAnsi"/>
        </w:rPr>
        <w:t>Δ</w:t>
      </w:r>
      <w:r>
        <w:t>t</w:t>
      </w:r>
      <w:r>
        <w:t xml:space="preserve"> = 0.025. Kaip matome grafikai yra labai arti vienas kito, todėl galime teigti, kad jau šiame žingsnyje uždavinio sprendimo rezultatai yra pakankamai tikslūs.</w:t>
      </w:r>
    </w:p>
    <w:p w:rsidR="00D24691" w:rsidRDefault="00D24691" w:rsidP="00D24691">
      <w:r>
        <w:rPr>
          <w:noProof/>
        </w:rPr>
        <w:drawing>
          <wp:inline distT="0" distB="0" distL="0" distR="0">
            <wp:extent cx="5974080" cy="3611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D1" w:rsidRDefault="006860D1" w:rsidP="006860D1">
      <w:pPr>
        <w:pStyle w:val="Heading2"/>
      </w:pPr>
      <w:r>
        <w:t>Stabilumo tyrimas</w:t>
      </w:r>
    </w:p>
    <w:p w:rsidR="006860D1" w:rsidRDefault="006860D1" w:rsidP="006860D1">
      <w:r>
        <w:t>Uždavinio sprendimo stabilumo tyrimo grafikai:</w:t>
      </w:r>
    </w:p>
    <w:p w:rsidR="006860D1" w:rsidRDefault="006860D1" w:rsidP="006860D1">
      <w:r>
        <w:rPr>
          <w:noProof/>
        </w:rPr>
        <w:lastRenderedPageBreak/>
        <w:drawing>
          <wp:inline distT="0" distB="0" distL="0" distR="0" wp14:anchorId="506625A6" wp14:editId="4029F955">
            <wp:extent cx="5943600" cy="358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D1" w:rsidRDefault="006860D1" w:rsidP="006860D1">
      <w:r>
        <w:t xml:space="preserve">Iš grafikų matome, kad uždavinio sprendinio rezultatai yra tinkami, kai metodo žingsnis </w:t>
      </w:r>
      <w:r>
        <w:rPr>
          <w:rFonts w:cstheme="minorHAnsi"/>
        </w:rPr>
        <w:t>Δ</w:t>
      </w:r>
      <w:r>
        <w:t>t</w:t>
      </w:r>
      <w:r>
        <w:t xml:space="preserve"> yra mažesnis už 0.3. Kai žingsnis didesnis, grafiko kreivė pernelyg greit tolsta nuo tikslių sprendimo rezultatų.</w:t>
      </w:r>
    </w:p>
    <w:p w:rsidR="006860D1" w:rsidRDefault="006860D1" w:rsidP="006860D1">
      <w:pPr>
        <w:pStyle w:val="Heading1"/>
      </w:pPr>
      <w:r>
        <w:t>Programos kodas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keepForm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80d;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5d;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0.15d;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0.6d;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9.8d;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form.PreparareForm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(0, 10, -10, 55);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form.X1X2;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form.Fx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form.chart1.Series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$"V, dT: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V.MarkerStyle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V.MarkerSize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V.ChartType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V.ChartType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form.chart1.Series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$"H, dT: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H.MarkerStyle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H.MarkerSize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H.ChartType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H.ChartType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keepForm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H.Points.Clear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V.Points.AddXY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(t, v);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H.Points.AddXY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(t, s);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_v)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_v 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k1 : k2;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 * - g - k * _v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(_v)) / m;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_v) =&gt; _v;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0)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G(v);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v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F(v);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H.Points.AddXY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(t, s);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V.Points.AddXY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(t, v);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form.richTextBox1.AppendText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$"t: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 v: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{v}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 s: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RunAnalysis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0.1d;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0.15d;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0.3d;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Run(t1);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0D1" w:rsidRDefault="006860D1" w:rsidP="006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t3,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0D1" w:rsidRPr="006860D1" w:rsidRDefault="006860D1" w:rsidP="006860D1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sectPr w:rsidR="006860D1" w:rsidRPr="006860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55C" w:rsidRDefault="004B555C" w:rsidP="00730CCA">
      <w:pPr>
        <w:spacing w:after="0" w:line="240" w:lineRule="auto"/>
      </w:pPr>
      <w:r>
        <w:separator/>
      </w:r>
    </w:p>
  </w:endnote>
  <w:endnote w:type="continuationSeparator" w:id="0">
    <w:p w:rsidR="004B555C" w:rsidRDefault="004B555C" w:rsidP="0073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55C" w:rsidRDefault="004B555C" w:rsidP="00730CCA">
      <w:pPr>
        <w:spacing w:after="0" w:line="240" w:lineRule="auto"/>
      </w:pPr>
      <w:r>
        <w:separator/>
      </w:r>
    </w:p>
  </w:footnote>
  <w:footnote w:type="continuationSeparator" w:id="0">
    <w:p w:rsidR="004B555C" w:rsidRDefault="004B555C" w:rsidP="0073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CCA" w:rsidRPr="00730CCA" w:rsidRDefault="00730CCA" w:rsidP="00730CCA">
    <w:pPr>
      <w:pStyle w:val="Header"/>
      <w:jc w:val="center"/>
      <w:rPr>
        <w:lang w:val="lt-LT"/>
      </w:rPr>
    </w:pPr>
    <w:r w:rsidRPr="00796B36">
      <w:rPr>
        <w:lang w:val="lt-LT"/>
      </w:rPr>
      <w:t>Skaitiniai metodai ir algoritmai (P170B115). Nerijus Dulkė, IFF-6/11, Varianto nr.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CA"/>
    <w:rsid w:val="000F4EE2"/>
    <w:rsid w:val="004B555C"/>
    <w:rsid w:val="005B03E9"/>
    <w:rsid w:val="006860D1"/>
    <w:rsid w:val="00697B9B"/>
    <w:rsid w:val="00730CCA"/>
    <w:rsid w:val="009B4859"/>
    <w:rsid w:val="00D24691"/>
    <w:rsid w:val="00D86AD5"/>
    <w:rsid w:val="00D95901"/>
    <w:rsid w:val="00F5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BDE7"/>
  <w15:chartTrackingRefBased/>
  <w15:docId w15:val="{30F871AD-B6A8-40BE-B08C-C9616CDB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CCA"/>
    <w:pPr>
      <w:spacing w:line="256" w:lineRule="auto"/>
    </w:pPr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CC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30CCA"/>
  </w:style>
  <w:style w:type="paragraph" w:styleId="Footer">
    <w:name w:val="footer"/>
    <w:basedOn w:val="Normal"/>
    <w:link w:val="FooterChar"/>
    <w:uiPriority w:val="99"/>
    <w:unhideWhenUsed/>
    <w:rsid w:val="00730CC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30CCA"/>
  </w:style>
  <w:style w:type="character" w:customStyle="1" w:styleId="Heading1Char">
    <w:name w:val="Heading 1 Char"/>
    <w:basedOn w:val="DefaultParagraphFont"/>
    <w:link w:val="Heading1"/>
    <w:uiPriority w:val="9"/>
    <w:rsid w:val="00730C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730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CCA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table" w:styleId="TableGrid">
    <w:name w:val="Table Grid"/>
    <w:basedOn w:val="TableNormal"/>
    <w:uiPriority w:val="39"/>
    <w:rsid w:val="0073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D1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246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Nerijus Dulkė</cp:lastModifiedBy>
  <cp:revision>3</cp:revision>
  <dcterms:created xsi:type="dcterms:W3CDTF">2018-12-10T19:02:00Z</dcterms:created>
  <dcterms:modified xsi:type="dcterms:W3CDTF">2018-12-10T19:57:00Z</dcterms:modified>
</cp:coreProperties>
</file>