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56" w:rsidRDefault="00E55556" w:rsidP="00E55556">
      <w:pPr>
        <w:pStyle w:val="Default"/>
        <w:spacing w:line="276" w:lineRule="auto"/>
        <w:jc w:val="both"/>
        <w:rPr>
          <w:sz w:val="22"/>
          <w:szCs w:val="22"/>
        </w:rPr>
      </w:pPr>
      <w:r>
        <w:rPr>
          <w:i/>
          <w:iCs/>
          <w:sz w:val="21"/>
          <w:szCs w:val="21"/>
        </w:rPr>
        <w:t xml:space="preserve">DE LINEAMIENTOS ACADÉMICO-ADMINISTRATIVOS DEL TECNM </w:t>
      </w:r>
      <w:r>
        <w:rPr>
          <w:b/>
          <w:bCs/>
          <w:sz w:val="22"/>
          <w:szCs w:val="22"/>
        </w:rPr>
        <w:t xml:space="preserve">56 </w:t>
      </w:r>
    </w:p>
    <w:p w:rsidR="00E55556" w:rsidRDefault="00E55556" w:rsidP="00E55556">
      <w:pPr>
        <w:pStyle w:val="Default"/>
        <w:spacing w:line="276" w:lineRule="auto"/>
        <w:jc w:val="both"/>
        <w:rPr>
          <w:b/>
          <w:bCs/>
          <w:color w:val="auto"/>
          <w:sz w:val="28"/>
          <w:szCs w:val="28"/>
        </w:rPr>
      </w:pPr>
      <w:r>
        <w:rPr>
          <w:b/>
          <w:bCs/>
          <w:color w:val="auto"/>
          <w:sz w:val="28"/>
          <w:szCs w:val="28"/>
        </w:rPr>
        <w:t xml:space="preserve">CAPÍTULO 11. LINEAMIENTO PARA LA OPERACIÓN Y CUMPLIMIENTO DEL SERVICIO SOCIAL </w:t>
      </w:r>
    </w:p>
    <w:p w:rsidR="00E55556" w:rsidRDefault="00E55556" w:rsidP="00E55556">
      <w:pPr>
        <w:pStyle w:val="Default"/>
        <w:spacing w:line="276" w:lineRule="auto"/>
        <w:jc w:val="both"/>
        <w:rPr>
          <w:color w:val="auto"/>
          <w:sz w:val="28"/>
          <w:szCs w:val="28"/>
        </w:rPr>
      </w:pPr>
    </w:p>
    <w:p w:rsidR="00E55556" w:rsidRDefault="00E55556" w:rsidP="00E55556">
      <w:pPr>
        <w:pStyle w:val="Default"/>
        <w:spacing w:line="276" w:lineRule="auto"/>
        <w:jc w:val="both"/>
        <w:rPr>
          <w:b/>
          <w:bCs/>
          <w:color w:val="auto"/>
          <w:sz w:val="22"/>
          <w:szCs w:val="22"/>
        </w:rPr>
      </w:pPr>
      <w:r>
        <w:rPr>
          <w:b/>
          <w:bCs/>
          <w:color w:val="auto"/>
          <w:sz w:val="28"/>
          <w:szCs w:val="28"/>
        </w:rPr>
        <w:t>11.1 P</w:t>
      </w:r>
      <w:r>
        <w:rPr>
          <w:b/>
          <w:bCs/>
          <w:color w:val="auto"/>
          <w:sz w:val="22"/>
          <w:szCs w:val="22"/>
        </w:rPr>
        <w:t xml:space="preserve">RÓPOSITO </w:t>
      </w:r>
    </w:p>
    <w:p w:rsidR="00E55556" w:rsidRDefault="00E55556" w:rsidP="00E55556">
      <w:pPr>
        <w:pStyle w:val="Default"/>
        <w:spacing w:line="276" w:lineRule="auto"/>
        <w:jc w:val="both"/>
        <w:rPr>
          <w:color w:val="auto"/>
          <w:sz w:val="22"/>
          <w:szCs w:val="22"/>
        </w:rPr>
      </w:pPr>
    </w:p>
    <w:p w:rsidR="00E55556" w:rsidRDefault="00E55556" w:rsidP="00E55556">
      <w:pPr>
        <w:pStyle w:val="Default"/>
        <w:spacing w:line="276" w:lineRule="auto"/>
        <w:jc w:val="both"/>
        <w:rPr>
          <w:color w:val="auto"/>
          <w:sz w:val="23"/>
          <w:szCs w:val="23"/>
        </w:rPr>
      </w:pPr>
      <w:r>
        <w:rPr>
          <w:color w:val="auto"/>
          <w:sz w:val="23"/>
          <w:szCs w:val="23"/>
        </w:rPr>
        <w:t xml:space="preserve">Establecer la normativa para la operación y cumplimiento del Servicio Social de los planes de estudio de nivel licenciatura para la formación y desarrollo de competencias profesionales de las Instituciones adscritas al </w:t>
      </w:r>
      <w:proofErr w:type="spellStart"/>
      <w:r>
        <w:rPr>
          <w:color w:val="auto"/>
          <w:sz w:val="23"/>
          <w:szCs w:val="23"/>
        </w:rPr>
        <w:t>TecNM</w:t>
      </w:r>
      <w:proofErr w:type="spellEnd"/>
      <w:r>
        <w:rPr>
          <w:color w:val="auto"/>
          <w:sz w:val="23"/>
          <w:szCs w:val="23"/>
        </w:rPr>
        <w:t xml:space="preserve">, con la finalidad de fortalecer la formación integral del estudiante, desarrollando una conciencia de solidaridad y compromiso con la sociedad a la que pertenece, mediante la aplicación y desarrollo de sus competencias profesionales.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2"/>
          <w:szCs w:val="22"/>
        </w:rPr>
      </w:pPr>
      <w:r>
        <w:rPr>
          <w:b/>
          <w:bCs/>
          <w:color w:val="auto"/>
          <w:sz w:val="28"/>
          <w:szCs w:val="28"/>
        </w:rPr>
        <w:t>11.2 A</w:t>
      </w:r>
      <w:r>
        <w:rPr>
          <w:b/>
          <w:bCs/>
          <w:color w:val="auto"/>
          <w:sz w:val="22"/>
          <w:szCs w:val="22"/>
        </w:rPr>
        <w:t xml:space="preserve">LCANCE </w:t>
      </w:r>
    </w:p>
    <w:p w:rsidR="00E55556" w:rsidRDefault="00E55556" w:rsidP="00E55556">
      <w:pPr>
        <w:pStyle w:val="Default"/>
        <w:spacing w:line="276" w:lineRule="auto"/>
        <w:jc w:val="both"/>
        <w:rPr>
          <w:color w:val="auto"/>
          <w:sz w:val="23"/>
          <w:szCs w:val="23"/>
        </w:rPr>
      </w:pPr>
      <w:r>
        <w:rPr>
          <w:color w:val="auto"/>
          <w:sz w:val="23"/>
          <w:szCs w:val="23"/>
        </w:rPr>
        <w:t xml:space="preserve">Se aplica a todos los Institutos, Unidades y Centros adscritos al </w:t>
      </w:r>
      <w:proofErr w:type="spellStart"/>
      <w:r>
        <w:rPr>
          <w:color w:val="auto"/>
          <w:sz w:val="23"/>
          <w:szCs w:val="23"/>
        </w:rPr>
        <w:t>TecNM</w:t>
      </w:r>
      <w:proofErr w:type="spellEnd"/>
      <w:r>
        <w:rPr>
          <w:color w:val="auto"/>
          <w:sz w:val="23"/>
          <w:szCs w:val="23"/>
        </w:rPr>
        <w:t xml:space="preserve"> y se encuentra fundamentado en el siguiente marco jurídico: </w:t>
      </w:r>
    </w:p>
    <w:p w:rsidR="00E55556" w:rsidRDefault="00E55556" w:rsidP="00E55556">
      <w:pPr>
        <w:pStyle w:val="Default"/>
        <w:spacing w:after="176" w:line="276" w:lineRule="auto"/>
        <w:jc w:val="both"/>
        <w:rPr>
          <w:color w:val="auto"/>
          <w:sz w:val="23"/>
          <w:szCs w:val="23"/>
        </w:rPr>
      </w:pPr>
      <w:r>
        <w:rPr>
          <w:color w:val="auto"/>
          <w:sz w:val="23"/>
          <w:szCs w:val="23"/>
        </w:rPr>
        <w:t xml:space="preserve"> Ley Reglamentaria del Artículo 5° Constitucional, relativo al Ejercicio de las Profesiones en el Distrito Federal, publicada en el Diario Oficial de la Federación 26-03-1945, última reforma publicada en el Diario Oficial de la Federación 19-10-2010. </w:t>
      </w:r>
    </w:p>
    <w:p w:rsidR="00E55556" w:rsidRDefault="00E55556" w:rsidP="00E55556">
      <w:pPr>
        <w:pStyle w:val="Default"/>
        <w:spacing w:after="176" w:line="276" w:lineRule="auto"/>
        <w:jc w:val="both"/>
        <w:rPr>
          <w:color w:val="auto"/>
          <w:sz w:val="23"/>
          <w:szCs w:val="23"/>
        </w:rPr>
      </w:pPr>
      <w:r>
        <w:rPr>
          <w:color w:val="auto"/>
          <w:sz w:val="23"/>
          <w:szCs w:val="23"/>
        </w:rPr>
        <w:t xml:space="preserve"> Ley General de Educación, publicada en el Diario Oficial de la Federación 13-07-1993, última reforma publicada en el Diario Oficial de la Federación 11-09-2013. </w:t>
      </w:r>
    </w:p>
    <w:p w:rsidR="00E55556" w:rsidRDefault="00E55556" w:rsidP="00E55556">
      <w:pPr>
        <w:pStyle w:val="Default"/>
        <w:spacing w:after="176" w:line="276" w:lineRule="auto"/>
        <w:jc w:val="both"/>
        <w:rPr>
          <w:color w:val="auto"/>
          <w:sz w:val="23"/>
          <w:szCs w:val="23"/>
        </w:rPr>
      </w:pPr>
      <w:r>
        <w:rPr>
          <w:color w:val="auto"/>
          <w:sz w:val="23"/>
          <w:szCs w:val="23"/>
        </w:rPr>
        <w:t xml:space="preserve"> Reglamento de la Ley Reglamentaria del Artículo 5° Constitucional, relativo al Ejercicio de las Profesiones en el Distrito Federal, publicado en el Diario Oficial de la Federación 01-10-1945. </w:t>
      </w:r>
    </w:p>
    <w:p w:rsidR="00E55556" w:rsidRDefault="00E55556" w:rsidP="00E55556">
      <w:pPr>
        <w:pStyle w:val="Default"/>
        <w:spacing w:line="276" w:lineRule="auto"/>
        <w:jc w:val="both"/>
        <w:rPr>
          <w:color w:val="auto"/>
          <w:sz w:val="23"/>
          <w:szCs w:val="23"/>
        </w:rPr>
      </w:pPr>
      <w:r>
        <w:rPr>
          <w:color w:val="auto"/>
          <w:sz w:val="23"/>
          <w:szCs w:val="23"/>
        </w:rPr>
        <w:t xml:space="preserve"> Reglamento para la Prestación del Servicio Social de los Estudiantes de las Instituciones de Educación Superior en la República Mexicana, publicado en el Diario Oficial de la Federación 30-03-1981. </w:t>
      </w:r>
    </w:p>
    <w:p w:rsidR="00E55556" w:rsidRDefault="00E55556" w:rsidP="00E55556">
      <w:pPr>
        <w:pStyle w:val="Default"/>
        <w:spacing w:line="276" w:lineRule="auto"/>
        <w:jc w:val="both"/>
        <w:rPr>
          <w:color w:val="auto"/>
        </w:rPr>
      </w:pPr>
    </w:p>
    <w:p w:rsidR="00E55556" w:rsidRDefault="00E55556" w:rsidP="00E55556">
      <w:pPr>
        <w:pStyle w:val="Default"/>
        <w:pageBreakBefore/>
        <w:spacing w:line="276" w:lineRule="auto"/>
        <w:jc w:val="both"/>
        <w:rPr>
          <w:color w:val="auto"/>
        </w:rPr>
      </w:pPr>
    </w:p>
    <w:p w:rsidR="00E55556" w:rsidRDefault="00E55556" w:rsidP="00E55556">
      <w:pPr>
        <w:pStyle w:val="Default"/>
        <w:spacing w:after="176" w:line="276" w:lineRule="auto"/>
        <w:jc w:val="both"/>
        <w:rPr>
          <w:color w:val="auto"/>
          <w:sz w:val="23"/>
          <w:szCs w:val="23"/>
        </w:rPr>
      </w:pPr>
      <w:r>
        <w:rPr>
          <w:color w:val="auto"/>
          <w:sz w:val="23"/>
          <w:szCs w:val="23"/>
        </w:rPr>
        <w:t xml:space="preserve"> Reglamentos vigentes del Servicio Social de los Estados de la República Mexicana. </w:t>
      </w:r>
    </w:p>
    <w:p w:rsidR="00E55556" w:rsidRDefault="00E55556" w:rsidP="00E55556">
      <w:pPr>
        <w:pStyle w:val="Default"/>
        <w:spacing w:after="176" w:line="276" w:lineRule="auto"/>
        <w:jc w:val="both"/>
        <w:rPr>
          <w:color w:val="auto"/>
          <w:sz w:val="23"/>
          <w:szCs w:val="23"/>
        </w:rPr>
      </w:pPr>
      <w:r>
        <w:rPr>
          <w:color w:val="auto"/>
          <w:sz w:val="23"/>
          <w:szCs w:val="23"/>
        </w:rPr>
        <w:t xml:space="preserve"> Decreto que crea el Tecnológico Nacional de México, publicado en el Diario Oficial de la Federación 23-07-2014. </w:t>
      </w:r>
    </w:p>
    <w:p w:rsidR="00E55556" w:rsidRDefault="00E55556" w:rsidP="00E55556">
      <w:pPr>
        <w:pStyle w:val="Default"/>
        <w:spacing w:line="276" w:lineRule="auto"/>
        <w:jc w:val="both"/>
        <w:rPr>
          <w:color w:val="auto"/>
          <w:sz w:val="23"/>
          <w:szCs w:val="23"/>
        </w:rPr>
      </w:pPr>
      <w:r>
        <w:rPr>
          <w:color w:val="auto"/>
          <w:sz w:val="23"/>
          <w:szCs w:val="23"/>
        </w:rPr>
        <w:t xml:space="preserve"> Decreto de Creación de cada Instituto Tecnológico Descentralizado.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b/>
          <w:bCs/>
          <w:color w:val="auto"/>
          <w:sz w:val="22"/>
          <w:szCs w:val="22"/>
        </w:rPr>
      </w:pPr>
      <w:r>
        <w:rPr>
          <w:b/>
          <w:bCs/>
          <w:color w:val="auto"/>
          <w:sz w:val="28"/>
          <w:szCs w:val="28"/>
        </w:rPr>
        <w:t>11.3 D</w:t>
      </w:r>
      <w:r>
        <w:rPr>
          <w:b/>
          <w:bCs/>
          <w:color w:val="auto"/>
          <w:sz w:val="22"/>
          <w:szCs w:val="22"/>
        </w:rPr>
        <w:t xml:space="preserve">EFINICIÓN Y CARACTERIZACIÓN </w:t>
      </w:r>
    </w:p>
    <w:p w:rsidR="00E55556" w:rsidRDefault="00E55556" w:rsidP="00E55556">
      <w:pPr>
        <w:pStyle w:val="Default"/>
        <w:spacing w:line="276" w:lineRule="auto"/>
        <w:jc w:val="both"/>
        <w:rPr>
          <w:color w:val="auto"/>
          <w:sz w:val="22"/>
          <w:szCs w:val="22"/>
        </w:rPr>
      </w:pPr>
    </w:p>
    <w:p w:rsidR="00E55556" w:rsidRDefault="00E55556" w:rsidP="00E55556">
      <w:pPr>
        <w:pStyle w:val="Default"/>
        <w:spacing w:line="276" w:lineRule="auto"/>
        <w:jc w:val="both"/>
        <w:rPr>
          <w:color w:val="auto"/>
          <w:sz w:val="23"/>
          <w:szCs w:val="23"/>
        </w:rPr>
      </w:pPr>
      <w:r>
        <w:rPr>
          <w:color w:val="auto"/>
          <w:sz w:val="23"/>
          <w:szCs w:val="23"/>
        </w:rPr>
        <w:t xml:space="preserve">Se entiende por Servicio Social el trabajo de carácter temporal y obligatorio, que institucionalmente presten y ejecuten los estudiantes en beneficio de la sociedad. Los estudiantes de las Instituciones adscritas al </w:t>
      </w:r>
      <w:proofErr w:type="spellStart"/>
      <w:r>
        <w:rPr>
          <w:color w:val="auto"/>
          <w:sz w:val="23"/>
          <w:szCs w:val="23"/>
        </w:rPr>
        <w:t>TecNM</w:t>
      </w:r>
      <w:proofErr w:type="spellEnd"/>
      <w:r>
        <w:rPr>
          <w:color w:val="auto"/>
          <w:sz w:val="23"/>
          <w:szCs w:val="23"/>
        </w:rPr>
        <w:t xml:space="preserve"> prestan el Servicio Social para cumplir con los créditos de sus planes de estudios.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3"/>
          <w:szCs w:val="23"/>
        </w:rPr>
      </w:pPr>
      <w:r>
        <w:rPr>
          <w:color w:val="auto"/>
          <w:sz w:val="23"/>
          <w:szCs w:val="23"/>
        </w:rPr>
        <w:t xml:space="preserve">La finalidad del Servicio Social es fortalecer la formación integral del estudiante, desarrollando una conciencia de solidaridad y compromiso con la sociedad a la que pertenece, mediante la aplicación y desarrollo de sus competencias profesionales. Para efectos del presente lineamiento se entiende como prestador al estudiante que realiza la prestación del Servicio Social en alguna dependencia, bajo la vigilancia de un supervisor inmediato.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3"/>
          <w:szCs w:val="23"/>
        </w:rPr>
      </w:pPr>
      <w:r>
        <w:rPr>
          <w:color w:val="auto"/>
          <w:sz w:val="23"/>
          <w:szCs w:val="23"/>
        </w:rPr>
        <w:t xml:space="preserve">La prestación del Servicio Social puede realizarse en dependencias públicas y organismos privados que cuenten con programas de asistencia social y desarrollo comunitario establecidos en el Plan Nacional de Desarrollo vigente y contribuyan al desarrollo económico, social y cultural de la Nación.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3"/>
          <w:szCs w:val="23"/>
        </w:rPr>
      </w:pPr>
      <w:r>
        <w:rPr>
          <w:color w:val="auto"/>
          <w:sz w:val="23"/>
          <w:szCs w:val="23"/>
        </w:rPr>
        <w:t xml:space="preserve">Los programas de Servicio Social comunitario pueden ser de educación para adultos; programas de contingencia; cuidado al medio ambiente y desarrollo sustentable; apoyo a la salud; promotores y/o instructores de actividades culturales, deportivas y cívicas; operación de programas especiales gubernamentales; programas productivos en beneficio social que permitan el desarrollo profesional del estudiante; y </w:t>
      </w:r>
    </w:p>
    <w:p w:rsidR="00E55556" w:rsidRP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rPr>
      </w:pPr>
    </w:p>
    <w:p w:rsidR="00E55556" w:rsidRDefault="00E55556" w:rsidP="00E55556">
      <w:pPr>
        <w:pStyle w:val="Default"/>
        <w:pageBreakBefore/>
        <w:spacing w:line="276" w:lineRule="auto"/>
        <w:jc w:val="both"/>
        <w:rPr>
          <w:color w:val="auto"/>
          <w:sz w:val="23"/>
          <w:szCs w:val="23"/>
        </w:rPr>
      </w:pPr>
    </w:p>
    <w:p w:rsidR="00E55556" w:rsidRDefault="00E55556" w:rsidP="00E55556">
      <w:pPr>
        <w:pStyle w:val="Default"/>
        <w:spacing w:line="276" w:lineRule="auto"/>
        <w:jc w:val="both"/>
        <w:rPr>
          <w:color w:val="auto"/>
          <w:sz w:val="23"/>
          <w:szCs w:val="23"/>
        </w:rPr>
      </w:pPr>
      <w:r>
        <w:rPr>
          <w:color w:val="auto"/>
          <w:sz w:val="23"/>
          <w:szCs w:val="23"/>
        </w:rPr>
        <w:t xml:space="preserve">Los programas de Servicio Social </w:t>
      </w:r>
      <w:proofErr w:type="spellStart"/>
      <w:r>
        <w:rPr>
          <w:color w:val="auto"/>
          <w:sz w:val="23"/>
          <w:szCs w:val="23"/>
        </w:rPr>
        <w:t>profesionalizante</w:t>
      </w:r>
      <w:proofErr w:type="spellEnd"/>
      <w:r>
        <w:rPr>
          <w:color w:val="auto"/>
          <w:sz w:val="23"/>
          <w:szCs w:val="23"/>
        </w:rPr>
        <w:t xml:space="preserve"> pueden ser proyectos integradores, proyectos de investigación, proyectos de Innovación Tecnológica, proyectos de </w:t>
      </w:r>
      <w:proofErr w:type="spellStart"/>
      <w:r>
        <w:rPr>
          <w:color w:val="auto"/>
          <w:sz w:val="23"/>
          <w:szCs w:val="23"/>
        </w:rPr>
        <w:t>emprendedurismo</w:t>
      </w:r>
      <w:proofErr w:type="spellEnd"/>
      <w:r>
        <w:rPr>
          <w:color w:val="auto"/>
          <w:sz w:val="23"/>
          <w:szCs w:val="23"/>
        </w:rPr>
        <w:t xml:space="preserve">, operación de programas especiales gubernamentales relacionados con su carrera, programas empresariales de responsabilidad social, programas productivos que permitan el desarrollo profesional del estudiante, y programas establecidos específicamente por el Instituto que estén relacionados con las acciones antes mencionadas.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b/>
          <w:bCs/>
          <w:color w:val="auto"/>
          <w:sz w:val="22"/>
          <w:szCs w:val="22"/>
        </w:rPr>
      </w:pPr>
      <w:r>
        <w:rPr>
          <w:b/>
          <w:bCs/>
          <w:color w:val="auto"/>
          <w:sz w:val="28"/>
          <w:szCs w:val="28"/>
        </w:rPr>
        <w:t>11.4 P</w:t>
      </w:r>
      <w:r>
        <w:rPr>
          <w:b/>
          <w:bCs/>
          <w:color w:val="auto"/>
          <w:sz w:val="22"/>
          <w:szCs w:val="22"/>
        </w:rPr>
        <w:t xml:space="preserve">OLÍTICAS DE OPERACIÓN </w:t>
      </w:r>
    </w:p>
    <w:p w:rsidR="00E55556" w:rsidRDefault="00E55556" w:rsidP="00E55556">
      <w:pPr>
        <w:pStyle w:val="Default"/>
        <w:spacing w:line="276" w:lineRule="auto"/>
        <w:jc w:val="both"/>
        <w:rPr>
          <w:color w:val="auto"/>
          <w:sz w:val="22"/>
          <w:szCs w:val="22"/>
        </w:rPr>
      </w:pPr>
    </w:p>
    <w:p w:rsidR="00E55556" w:rsidRDefault="00E55556" w:rsidP="00E55556">
      <w:pPr>
        <w:pStyle w:val="Default"/>
        <w:spacing w:line="276" w:lineRule="auto"/>
        <w:jc w:val="both"/>
        <w:rPr>
          <w:color w:val="auto"/>
          <w:sz w:val="22"/>
          <w:szCs w:val="22"/>
        </w:rPr>
      </w:pPr>
      <w:r>
        <w:rPr>
          <w:b/>
          <w:bCs/>
          <w:color w:val="auto"/>
          <w:sz w:val="28"/>
          <w:szCs w:val="28"/>
        </w:rPr>
        <w:t>11.4.1 G</w:t>
      </w:r>
      <w:r>
        <w:rPr>
          <w:b/>
          <w:bCs/>
          <w:color w:val="auto"/>
          <w:sz w:val="22"/>
          <w:szCs w:val="22"/>
        </w:rPr>
        <w:t xml:space="preserve">ENERALIDADES </w:t>
      </w:r>
    </w:p>
    <w:p w:rsidR="00E55556" w:rsidRDefault="00E55556" w:rsidP="00E55556">
      <w:pPr>
        <w:pStyle w:val="Default"/>
        <w:spacing w:line="276" w:lineRule="auto"/>
        <w:jc w:val="both"/>
        <w:rPr>
          <w:color w:val="auto"/>
          <w:sz w:val="23"/>
          <w:szCs w:val="23"/>
        </w:rPr>
      </w:pPr>
      <w:r>
        <w:rPr>
          <w:color w:val="auto"/>
          <w:sz w:val="23"/>
          <w:szCs w:val="23"/>
        </w:rPr>
        <w:t>11.4.1.1 El Departamento de Gestión Tecnológica y Vinculación o su equivalente en los Institutos Tecnológicos Descentralizados, presenta las propuestas de proyectos de Servicio Social ante el Comité Académico para su revisión y recomendación al (</w:t>
      </w:r>
      <w:proofErr w:type="spellStart"/>
      <w:r>
        <w:rPr>
          <w:color w:val="auto"/>
          <w:sz w:val="23"/>
          <w:szCs w:val="23"/>
        </w:rPr>
        <w:t>a la</w:t>
      </w:r>
      <w:proofErr w:type="spellEnd"/>
      <w:r>
        <w:rPr>
          <w:color w:val="auto"/>
          <w:sz w:val="23"/>
          <w:szCs w:val="23"/>
        </w:rPr>
        <w:t xml:space="preserve">) Director(a) del Instituto, quien emite su autorización. </w:t>
      </w:r>
    </w:p>
    <w:p w:rsidR="00E55556" w:rsidRDefault="00E55556" w:rsidP="00E55556">
      <w:pPr>
        <w:pStyle w:val="Default"/>
        <w:spacing w:line="276" w:lineRule="auto"/>
        <w:jc w:val="both"/>
        <w:rPr>
          <w:color w:val="auto"/>
          <w:sz w:val="23"/>
          <w:szCs w:val="23"/>
        </w:rPr>
      </w:pPr>
      <w:r>
        <w:rPr>
          <w:color w:val="auto"/>
          <w:sz w:val="23"/>
          <w:szCs w:val="23"/>
        </w:rPr>
        <w:t xml:space="preserve">11.4.1.2 El Departamento de Gestión Tecnológica y Vinculación o su equivalente en los Institutos Tecnológicos Descentralizados es la instancia que registra, recluta y autoriza la prestación del Servicio Social al estudiante. </w:t>
      </w:r>
    </w:p>
    <w:p w:rsidR="00E55556" w:rsidRDefault="00E55556" w:rsidP="00E55556">
      <w:pPr>
        <w:pStyle w:val="Default"/>
        <w:spacing w:line="276" w:lineRule="auto"/>
        <w:jc w:val="both"/>
        <w:rPr>
          <w:color w:val="auto"/>
          <w:sz w:val="23"/>
          <w:szCs w:val="23"/>
        </w:rPr>
      </w:pPr>
      <w:r>
        <w:rPr>
          <w:color w:val="auto"/>
          <w:sz w:val="23"/>
          <w:szCs w:val="23"/>
        </w:rPr>
        <w:t xml:space="preserve">11.4.1.3 Los estudiantes pueden prestar su Servicio Social una vez aprobado el porcentaje de créditos de acuerdo con la normativa vigente, indicada en el apartado de alcance de este documento. </w:t>
      </w:r>
    </w:p>
    <w:p w:rsidR="00E55556" w:rsidRDefault="00E55556" w:rsidP="00E55556">
      <w:pPr>
        <w:pStyle w:val="Default"/>
        <w:spacing w:line="276" w:lineRule="auto"/>
        <w:jc w:val="both"/>
        <w:rPr>
          <w:color w:val="auto"/>
          <w:sz w:val="23"/>
          <w:szCs w:val="23"/>
        </w:rPr>
      </w:pPr>
      <w:r>
        <w:rPr>
          <w:color w:val="auto"/>
          <w:sz w:val="23"/>
          <w:szCs w:val="23"/>
        </w:rPr>
        <w:t xml:space="preserve">11.4.1.4 El Servicio Social tiene un valor de 10 créditos en los planes de estudio, donde un crédito equivale a 50 horas. </w:t>
      </w:r>
    </w:p>
    <w:p w:rsidR="00E55556" w:rsidRDefault="00E55556" w:rsidP="00E55556">
      <w:pPr>
        <w:pStyle w:val="Default"/>
        <w:spacing w:line="276" w:lineRule="auto"/>
        <w:jc w:val="both"/>
        <w:rPr>
          <w:color w:val="auto"/>
        </w:rPr>
      </w:pPr>
      <w:r>
        <w:rPr>
          <w:color w:val="auto"/>
          <w:sz w:val="23"/>
          <w:szCs w:val="23"/>
        </w:rPr>
        <w:t xml:space="preserve">11.4.1.5 Para ser liberado el Servicio Social se tiene que cumplir con los 10 créditos en un periodo no menor de seis meses. </w:t>
      </w:r>
    </w:p>
    <w:p w:rsidR="00E55556" w:rsidRDefault="00E55556" w:rsidP="00E55556">
      <w:pPr>
        <w:pStyle w:val="Default"/>
        <w:pageBreakBefore/>
        <w:spacing w:line="276" w:lineRule="auto"/>
        <w:jc w:val="both"/>
        <w:rPr>
          <w:color w:val="auto"/>
          <w:sz w:val="23"/>
          <w:szCs w:val="23"/>
        </w:rPr>
      </w:pPr>
      <w:r>
        <w:rPr>
          <w:color w:val="auto"/>
          <w:sz w:val="23"/>
          <w:szCs w:val="23"/>
        </w:rPr>
        <w:lastRenderedPageBreak/>
        <w:t xml:space="preserve">11.4.1.6 Los prestadores que trabajen en dependencias federales, estatales y municipales y opten por acreditar el Servicio Social, deben cumplir con los siguientes requisitos: </w:t>
      </w:r>
    </w:p>
    <w:p w:rsidR="00E55556" w:rsidRDefault="00E55556" w:rsidP="00E55556">
      <w:pPr>
        <w:pStyle w:val="Default"/>
        <w:spacing w:after="174" w:line="276" w:lineRule="auto"/>
        <w:jc w:val="both"/>
        <w:rPr>
          <w:color w:val="auto"/>
          <w:sz w:val="23"/>
          <w:szCs w:val="23"/>
        </w:rPr>
      </w:pPr>
      <w:r>
        <w:rPr>
          <w:color w:val="auto"/>
          <w:sz w:val="23"/>
          <w:szCs w:val="23"/>
        </w:rPr>
        <w:t xml:space="preserve"> Presentar documentación que lo acredite como trabajador con una antigüedad mínima de seis meses. </w:t>
      </w:r>
    </w:p>
    <w:p w:rsidR="00E55556" w:rsidRDefault="00E55556" w:rsidP="00E55556">
      <w:pPr>
        <w:pStyle w:val="Default"/>
        <w:spacing w:after="174" w:line="276" w:lineRule="auto"/>
        <w:jc w:val="both"/>
        <w:rPr>
          <w:color w:val="auto"/>
          <w:sz w:val="23"/>
          <w:szCs w:val="23"/>
        </w:rPr>
      </w:pPr>
      <w:r>
        <w:rPr>
          <w:color w:val="auto"/>
          <w:sz w:val="23"/>
          <w:szCs w:val="23"/>
        </w:rPr>
        <w:t xml:space="preserve"> Presentar documentos que justifiquen que las labores realizadas en el organismo y área de adscripción, corresponden y cumplen con el objetivo que se pretende alcanzar al prestar el Servicio Social, según lo establecido en el presente lineamiento en su propósito, definición y caracterización del Servicio Social. </w:t>
      </w:r>
    </w:p>
    <w:p w:rsidR="00E55556" w:rsidRDefault="00E55556" w:rsidP="00E55556">
      <w:pPr>
        <w:pStyle w:val="Default"/>
        <w:spacing w:after="174" w:line="276" w:lineRule="auto"/>
        <w:jc w:val="both"/>
        <w:rPr>
          <w:color w:val="auto"/>
          <w:sz w:val="23"/>
          <w:szCs w:val="23"/>
        </w:rPr>
      </w:pPr>
      <w:r>
        <w:rPr>
          <w:color w:val="auto"/>
          <w:sz w:val="23"/>
          <w:szCs w:val="23"/>
        </w:rPr>
        <w:t xml:space="preserve"> Respetar y cumplir las obligaciones establecidas en el apartado del prestador del Servicio Social (ver numeral 11.4.3). </w:t>
      </w:r>
    </w:p>
    <w:p w:rsidR="00E55556" w:rsidRDefault="00E55556" w:rsidP="00E55556">
      <w:pPr>
        <w:pStyle w:val="Default"/>
        <w:spacing w:line="276" w:lineRule="auto"/>
        <w:jc w:val="both"/>
        <w:rPr>
          <w:color w:val="auto"/>
          <w:sz w:val="23"/>
          <w:szCs w:val="23"/>
        </w:rPr>
      </w:pPr>
      <w:r>
        <w:rPr>
          <w:color w:val="auto"/>
          <w:sz w:val="23"/>
          <w:szCs w:val="23"/>
        </w:rPr>
        <w:t xml:space="preserve"> El informe final deberá corresponder con las actividades realizadas a partir de la solicitud de prestación del Servicio Social y autorización respectiva.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3"/>
          <w:szCs w:val="23"/>
        </w:rPr>
      </w:pPr>
      <w:r>
        <w:rPr>
          <w:color w:val="auto"/>
          <w:sz w:val="23"/>
          <w:szCs w:val="23"/>
        </w:rPr>
        <w:t xml:space="preserve">11.4.1.7 Para la realización del Servicio Social en un ámbito de influencia diferente al del Instituto, los prestadores deben cubrir los siguientes requisitos: </w:t>
      </w:r>
    </w:p>
    <w:p w:rsidR="00E55556" w:rsidRDefault="00E55556" w:rsidP="00E55556">
      <w:pPr>
        <w:pStyle w:val="Default"/>
        <w:spacing w:after="174" w:line="276" w:lineRule="auto"/>
        <w:jc w:val="both"/>
        <w:rPr>
          <w:color w:val="auto"/>
          <w:sz w:val="23"/>
          <w:szCs w:val="23"/>
        </w:rPr>
      </w:pPr>
      <w:r>
        <w:rPr>
          <w:color w:val="auto"/>
          <w:sz w:val="23"/>
          <w:szCs w:val="23"/>
        </w:rPr>
        <w:t xml:space="preserve"> Presentar la solicitud de autorización para realizar el Servicio Social en otras instituciones de Educación Superior (ver Anexo XVIII). </w:t>
      </w:r>
    </w:p>
    <w:p w:rsidR="00E55556" w:rsidRDefault="00E55556" w:rsidP="00E55556">
      <w:pPr>
        <w:pStyle w:val="Default"/>
        <w:spacing w:after="174" w:line="276" w:lineRule="auto"/>
        <w:jc w:val="both"/>
        <w:rPr>
          <w:color w:val="auto"/>
          <w:sz w:val="23"/>
          <w:szCs w:val="23"/>
        </w:rPr>
      </w:pPr>
      <w:r>
        <w:rPr>
          <w:color w:val="auto"/>
          <w:sz w:val="23"/>
          <w:szCs w:val="23"/>
        </w:rPr>
        <w:t xml:space="preserve"> Entregar a la dependencia seleccionada, oficio de autorización expedido por el Instituto de procedencia, indicándole que no hay inconveniente en que se le coordine su actividad de Servicio Social. </w:t>
      </w:r>
    </w:p>
    <w:p w:rsidR="00E55556" w:rsidRDefault="00E55556" w:rsidP="00E55556">
      <w:pPr>
        <w:pStyle w:val="Default"/>
        <w:spacing w:line="276" w:lineRule="auto"/>
        <w:jc w:val="both"/>
        <w:rPr>
          <w:color w:val="auto"/>
          <w:sz w:val="23"/>
          <w:szCs w:val="23"/>
        </w:rPr>
      </w:pPr>
      <w:r>
        <w:rPr>
          <w:color w:val="auto"/>
          <w:sz w:val="23"/>
          <w:szCs w:val="23"/>
        </w:rPr>
        <w:t xml:space="preserve"> Verificar cuando concluya su programa de Servicio Social, que la institución seleccionada envíe los instrumentos de evaluación cualitativa al desempeño (Anexo XXIII), y la carta de terminación (Anexo XIX) al Instituto de procedencia. </w:t>
      </w:r>
    </w:p>
    <w:p w:rsidR="00E55556" w:rsidRDefault="00E55556" w:rsidP="00E55556">
      <w:pPr>
        <w:pStyle w:val="Default"/>
        <w:pageBreakBefore/>
        <w:spacing w:line="276" w:lineRule="auto"/>
        <w:jc w:val="both"/>
        <w:rPr>
          <w:color w:val="auto"/>
          <w:sz w:val="23"/>
          <w:szCs w:val="23"/>
        </w:rPr>
      </w:pPr>
      <w:r>
        <w:rPr>
          <w:color w:val="auto"/>
          <w:sz w:val="23"/>
          <w:szCs w:val="23"/>
        </w:rPr>
        <w:lastRenderedPageBreak/>
        <w:t>11.4.1.8 Los programas de Servicio Social propios del Instituto relacionados con actividades culturales, deportivas y cívicas, solamente se autorizan con carácter de promotores y/o instructores, y cuando sea en beneficio de la sociedad y autorizado por el (la) Director(a) del Instituto, previa recomendación del Comité Académico.</w:t>
      </w:r>
    </w:p>
    <w:p w:rsidR="00E55556" w:rsidRPr="00E55556" w:rsidRDefault="00E55556" w:rsidP="00E55556">
      <w:pPr>
        <w:pStyle w:val="Default"/>
        <w:pageBreakBefore/>
        <w:spacing w:line="276" w:lineRule="auto"/>
        <w:jc w:val="both"/>
        <w:rPr>
          <w:color w:val="auto"/>
          <w:sz w:val="23"/>
          <w:szCs w:val="23"/>
        </w:rPr>
      </w:pPr>
      <w:r>
        <w:rPr>
          <w:b/>
          <w:bCs/>
          <w:color w:val="auto"/>
          <w:sz w:val="28"/>
          <w:szCs w:val="28"/>
        </w:rPr>
        <w:lastRenderedPageBreak/>
        <w:t>11.4.2 D</w:t>
      </w:r>
      <w:r>
        <w:rPr>
          <w:b/>
          <w:bCs/>
          <w:color w:val="auto"/>
          <w:sz w:val="22"/>
          <w:szCs w:val="22"/>
        </w:rPr>
        <w:t xml:space="preserve">EL CUMPLIMIENTO DEL </w:t>
      </w:r>
      <w:r>
        <w:rPr>
          <w:b/>
          <w:bCs/>
          <w:color w:val="auto"/>
          <w:sz w:val="28"/>
          <w:szCs w:val="28"/>
        </w:rPr>
        <w:t>S</w:t>
      </w:r>
      <w:r>
        <w:rPr>
          <w:b/>
          <w:bCs/>
          <w:color w:val="auto"/>
          <w:sz w:val="22"/>
          <w:szCs w:val="22"/>
        </w:rPr>
        <w:t xml:space="preserve">ERVICIO </w:t>
      </w:r>
      <w:r>
        <w:rPr>
          <w:b/>
          <w:bCs/>
          <w:color w:val="auto"/>
          <w:sz w:val="28"/>
          <w:szCs w:val="28"/>
        </w:rPr>
        <w:t>S</w:t>
      </w:r>
      <w:r>
        <w:rPr>
          <w:b/>
          <w:bCs/>
          <w:color w:val="auto"/>
          <w:sz w:val="22"/>
          <w:szCs w:val="22"/>
        </w:rPr>
        <w:t>OCIAL</w:t>
      </w:r>
    </w:p>
    <w:p w:rsidR="00E55556" w:rsidRDefault="00E55556" w:rsidP="00E55556">
      <w:pPr>
        <w:pStyle w:val="Default"/>
        <w:spacing w:line="276" w:lineRule="auto"/>
        <w:jc w:val="both"/>
        <w:rPr>
          <w:color w:val="auto"/>
          <w:sz w:val="22"/>
          <w:szCs w:val="22"/>
        </w:rPr>
      </w:pPr>
    </w:p>
    <w:p w:rsidR="00E55556" w:rsidRDefault="00E55556" w:rsidP="00E55556">
      <w:pPr>
        <w:pStyle w:val="Default"/>
        <w:spacing w:line="276" w:lineRule="auto"/>
        <w:jc w:val="both"/>
        <w:rPr>
          <w:color w:val="auto"/>
          <w:sz w:val="23"/>
          <w:szCs w:val="23"/>
        </w:rPr>
      </w:pPr>
      <w:r>
        <w:rPr>
          <w:color w:val="auto"/>
          <w:sz w:val="23"/>
          <w:szCs w:val="23"/>
        </w:rPr>
        <w:t xml:space="preserve">11.4.2.1 El responsable de la dependencia donde se realiza el servicio social evalúa al prestador de manera bimestral y final, mediante el Formato de Evaluación Cualitativa del Prestador de Servicio Social (Anexo XXIII) y la carta de terminación de Servicio Social (Anexo XIX), que el prestador entrega al Departamento de Gestión Tecnológica y Vinculación o su equivalente en los Institutos Tecnológicos Descentralizados. </w:t>
      </w:r>
    </w:p>
    <w:p w:rsidR="00E55556" w:rsidRDefault="00E55556" w:rsidP="00E55556">
      <w:pPr>
        <w:pStyle w:val="Default"/>
        <w:spacing w:line="276" w:lineRule="auto"/>
        <w:jc w:val="both"/>
        <w:rPr>
          <w:color w:val="auto"/>
          <w:sz w:val="23"/>
          <w:szCs w:val="23"/>
        </w:rPr>
      </w:pPr>
      <w:r>
        <w:rPr>
          <w:color w:val="auto"/>
          <w:sz w:val="23"/>
          <w:szCs w:val="23"/>
        </w:rPr>
        <w:t xml:space="preserve">11.4.2.2 El Departamento de Gestión Tecnológica y Vinculación o su equivalente en los Institutos Tecnológicos Descentralizados, con base a la valoración cualitativa del desempeño, el cumplimiento de los informes bimestrales y final; determina si alcanza el desempeño excelente, notable, bueno, suficiente o insuficiente del Servicio Social. En el caso de desempeño excelente, notable, bueno y suficiente, se emite la constancia de término de Servicio Social (Anexo XXVI) y la turna al Departamento de Servicios Escolares o su equivalente en los Institutos Tecnológicos Descentralizados. </w:t>
      </w:r>
    </w:p>
    <w:p w:rsidR="00E55556" w:rsidRDefault="00E55556" w:rsidP="00E55556">
      <w:pPr>
        <w:pStyle w:val="Default"/>
        <w:spacing w:line="276" w:lineRule="auto"/>
        <w:jc w:val="both"/>
        <w:rPr>
          <w:color w:val="auto"/>
          <w:sz w:val="22"/>
          <w:szCs w:val="22"/>
        </w:rPr>
      </w:pPr>
      <w:r>
        <w:rPr>
          <w:color w:val="auto"/>
          <w:sz w:val="23"/>
          <w:szCs w:val="23"/>
        </w:rPr>
        <w:t xml:space="preserve">11.4.2.3 Con base en el punto anterior 11.4.2.2, en el Certificado de estudios del estudiante se asienta el nivel de desempeño que se encuentra en la constancia de término de Servicio Social (Anexo XXVI). </w:t>
      </w:r>
    </w:p>
    <w:p w:rsidR="00E55556" w:rsidRDefault="00E55556" w:rsidP="00E55556">
      <w:pPr>
        <w:pStyle w:val="Default"/>
        <w:spacing w:line="276" w:lineRule="auto"/>
        <w:jc w:val="both"/>
        <w:rPr>
          <w:color w:val="auto"/>
        </w:rPr>
      </w:pPr>
    </w:p>
    <w:p w:rsidR="00E55556" w:rsidRDefault="00E55556" w:rsidP="00E55556">
      <w:pPr>
        <w:pStyle w:val="Default"/>
        <w:pageBreakBefore/>
        <w:spacing w:line="276" w:lineRule="auto"/>
        <w:jc w:val="both"/>
        <w:rPr>
          <w:color w:val="auto"/>
          <w:sz w:val="22"/>
          <w:szCs w:val="22"/>
        </w:rPr>
      </w:pPr>
      <w:r>
        <w:rPr>
          <w:b/>
          <w:bCs/>
          <w:color w:val="auto"/>
          <w:sz w:val="28"/>
          <w:szCs w:val="28"/>
        </w:rPr>
        <w:lastRenderedPageBreak/>
        <w:t>11.4.3 D</w:t>
      </w:r>
      <w:r>
        <w:rPr>
          <w:b/>
          <w:bCs/>
          <w:color w:val="auto"/>
          <w:sz w:val="22"/>
          <w:szCs w:val="22"/>
        </w:rPr>
        <w:t xml:space="preserve">EL ESTUDIANTE </w:t>
      </w:r>
    </w:p>
    <w:p w:rsidR="00E55556" w:rsidRDefault="00E55556" w:rsidP="00E55556">
      <w:pPr>
        <w:pStyle w:val="Default"/>
        <w:spacing w:line="276" w:lineRule="auto"/>
        <w:jc w:val="both"/>
        <w:rPr>
          <w:color w:val="auto"/>
          <w:sz w:val="23"/>
          <w:szCs w:val="23"/>
        </w:rPr>
      </w:pPr>
      <w:r>
        <w:rPr>
          <w:color w:val="auto"/>
          <w:sz w:val="23"/>
          <w:szCs w:val="23"/>
        </w:rPr>
        <w:t xml:space="preserve">11.4.3.1 Es responsable de solicitar su registro a un proyecto de Servicio Social, considerando el banco de programas autorizados y disponibles en el Departamento de Gestión Tecnológica y Vinculación o su equivalente en los Institutos Tecnológicos Descentralizados. </w:t>
      </w:r>
    </w:p>
    <w:p w:rsidR="00E55556" w:rsidRDefault="00E55556" w:rsidP="00E55556">
      <w:pPr>
        <w:pStyle w:val="Default"/>
        <w:spacing w:line="276" w:lineRule="auto"/>
        <w:jc w:val="both"/>
        <w:rPr>
          <w:color w:val="auto"/>
          <w:sz w:val="23"/>
          <w:szCs w:val="23"/>
        </w:rPr>
      </w:pPr>
      <w:r>
        <w:rPr>
          <w:color w:val="auto"/>
          <w:sz w:val="23"/>
          <w:szCs w:val="23"/>
        </w:rPr>
        <w:t xml:space="preserve">11.4.3.2 Asiste a la plática de inducción presencial o en línea (para modalidad de educación No escolarizada a distancia y Mixta) convocada por el Departamento de Gestión Tecnológica y Vinculación o su equivalente en los Institutos Tecnológicos Descentralizados. </w:t>
      </w:r>
    </w:p>
    <w:p w:rsidR="00E55556" w:rsidRDefault="00E55556" w:rsidP="00E55556">
      <w:pPr>
        <w:pStyle w:val="Default"/>
        <w:spacing w:line="276" w:lineRule="auto"/>
        <w:jc w:val="both"/>
        <w:rPr>
          <w:color w:val="auto"/>
          <w:sz w:val="23"/>
          <w:szCs w:val="23"/>
        </w:rPr>
      </w:pPr>
      <w:r>
        <w:rPr>
          <w:color w:val="auto"/>
          <w:sz w:val="23"/>
          <w:szCs w:val="23"/>
        </w:rPr>
        <w:t xml:space="preserve">11.4.3.3 Entrega la solicitud debidamente </w:t>
      </w:r>
      <w:proofErr w:type="spellStart"/>
      <w:r>
        <w:rPr>
          <w:color w:val="auto"/>
          <w:sz w:val="23"/>
          <w:szCs w:val="23"/>
        </w:rPr>
        <w:t>requisitada</w:t>
      </w:r>
      <w:proofErr w:type="spellEnd"/>
      <w:r>
        <w:rPr>
          <w:color w:val="auto"/>
          <w:sz w:val="23"/>
          <w:szCs w:val="23"/>
        </w:rPr>
        <w:t xml:space="preserve"> de Servicio Social al Departamento de Gestión Tecnológica y Vinculación o su equivalente en los Institutos Tecnológicos Descentralizados (Anexo XVIII). </w:t>
      </w:r>
    </w:p>
    <w:p w:rsidR="00E55556" w:rsidRDefault="00E55556" w:rsidP="00E55556">
      <w:pPr>
        <w:pStyle w:val="Default"/>
        <w:spacing w:line="276" w:lineRule="auto"/>
        <w:jc w:val="both"/>
        <w:rPr>
          <w:color w:val="auto"/>
          <w:sz w:val="23"/>
          <w:szCs w:val="23"/>
        </w:rPr>
      </w:pPr>
      <w:r>
        <w:rPr>
          <w:color w:val="auto"/>
          <w:sz w:val="23"/>
          <w:szCs w:val="23"/>
        </w:rPr>
        <w:t xml:space="preserve">11.4.3.4 Entrega la carta de presentación al organismo o dependencia donde se realizará el Servicio Social emitida por el Departamento de Gestión Tecnológica y Vinculación o su equivalente en los Institutos Tecnológicos Descentralizados (Anexo XXI). </w:t>
      </w:r>
    </w:p>
    <w:p w:rsidR="00E55556" w:rsidRDefault="00E55556" w:rsidP="00E55556">
      <w:pPr>
        <w:pStyle w:val="Default"/>
        <w:spacing w:line="276" w:lineRule="auto"/>
        <w:jc w:val="both"/>
        <w:rPr>
          <w:color w:val="auto"/>
          <w:sz w:val="23"/>
          <w:szCs w:val="23"/>
        </w:rPr>
      </w:pPr>
      <w:r>
        <w:rPr>
          <w:color w:val="auto"/>
          <w:sz w:val="23"/>
          <w:szCs w:val="23"/>
        </w:rPr>
        <w:t xml:space="preserve">11.4.3.5 Entrega la carta de aceptación firmada y sellada por el organismo al Departamento de Gestión Tecnológica y Vinculación o su equivalente en los Institutos Tecnológicos Descentralizados. </w:t>
      </w:r>
    </w:p>
    <w:p w:rsidR="00E55556" w:rsidRDefault="00E55556" w:rsidP="00E55556">
      <w:pPr>
        <w:pStyle w:val="Default"/>
        <w:spacing w:line="276" w:lineRule="auto"/>
        <w:jc w:val="both"/>
        <w:rPr>
          <w:color w:val="auto"/>
        </w:rPr>
      </w:pPr>
      <w:r>
        <w:rPr>
          <w:color w:val="auto"/>
          <w:sz w:val="23"/>
          <w:szCs w:val="23"/>
        </w:rPr>
        <w:t xml:space="preserve">11.4.3.6 Entrega al Departamento de Gestión Tecnológica y Vinculación o su equivalente en los Institutos Tecnológicos Descentralizados, su plan de trabajo del Servicio Social en los tiempos que el departamento determine. El plan de trabajo debe ser avalado con la firma del responsable del programa y el titular de la dependencia, y con el sello de la misma. </w:t>
      </w:r>
    </w:p>
    <w:p w:rsidR="00E55556" w:rsidRDefault="00E55556" w:rsidP="00E55556">
      <w:pPr>
        <w:pStyle w:val="Default"/>
        <w:pageBreakBefore/>
        <w:spacing w:line="276" w:lineRule="auto"/>
        <w:jc w:val="both"/>
        <w:rPr>
          <w:color w:val="auto"/>
          <w:sz w:val="23"/>
          <w:szCs w:val="23"/>
        </w:rPr>
      </w:pPr>
      <w:r>
        <w:rPr>
          <w:color w:val="auto"/>
          <w:sz w:val="23"/>
          <w:szCs w:val="23"/>
        </w:rPr>
        <w:lastRenderedPageBreak/>
        <w:t xml:space="preserve">11.4.3.7 Entrega un reporte bimestral firmado y sellado por el organismo o la dependencia donde realiza su servicio social (ver Anexo XXII), junto con el instrumento de evaluación y autoevaluación cualitativa de desempeño, y formato de evaluación de actividades de servicio social (Anexo XXIII, Anexo XXIV y Anexo XXV) al Departamento de Gestión Tecnológica y Vinculación o su equivalente en los Institutos Tecnológicos Descentralizados. </w:t>
      </w:r>
    </w:p>
    <w:p w:rsidR="00E55556" w:rsidRDefault="00E55556" w:rsidP="00E55556">
      <w:pPr>
        <w:pStyle w:val="Default"/>
        <w:spacing w:line="276" w:lineRule="auto"/>
        <w:jc w:val="both"/>
        <w:rPr>
          <w:color w:val="auto"/>
          <w:sz w:val="23"/>
          <w:szCs w:val="23"/>
        </w:rPr>
      </w:pPr>
      <w:r>
        <w:rPr>
          <w:color w:val="auto"/>
          <w:sz w:val="23"/>
          <w:szCs w:val="23"/>
        </w:rPr>
        <w:t xml:space="preserve">11.4.3.8 Al concluir el Servicio Social, el prestador debe entregar un reporte final firmado y sellado por el organismo o dependencia, carta de termino de servicio social, Instrumento de Evaluación y Autoevaluación Cualitativo del Desempeño Final (Anexo XXIII, Anexo XXIV y Anexo XXV) al departamento de Gestión Tecnológica y Vinculación o su equivalente en los Institutos Tecnológicos Descentralizados. Todos los documentos mencionados son necesarios para determinar el nivel de desempeño alcanzado. </w:t>
      </w:r>
    </w:p>
    <w:p w:rsidR="00E55556" w:rsidRDefault="00E55556" w:rsidP="00E55556">
      <w:pPr>
        <w:pStyle w:val="Default"/>
        <w:spacing w:line="276" w:lineRule="auto"/>
        <w:jc w:val="both"/>
        <w:rPr>
          <w:color w:val="auto"/>
        </w:rPr>
      </w:pPr>
      <w:r>
        <w:rPr>
          <w:color w:val="auto"/>
          <w:sz w:val="23"/>
          <w:szCs w:val="23"/>
        </w:rPr>
        <w:t xml:space="preserve">11.4.3.9 En el caso de los estudiantes que se encuentren bajo la modalidad de educación No escolarizada a distancia y Mixta, pueden utilizar las herramientas de las tecnologías de la información pertinente y acordada por el departamento de Gestión Tecnológica y Vinculación o su equivalente en los Institutos Tecnológicos Descentralizados, para cumplir con los procesos administrativos mencionados en el presente documento. </w:t>
      </w:r>
    </w:p>
    <w:p w:rsidR="00E55556" w:rsidRDefault="00E55556" w:rsidP="00E55556">
      <w:pPr>
        <w:pStyle w:val="Default"/>
        <w:pageBreakBefore/>
        <w:spacing w:line="276" w:lineRule="auto"/>
        <w:jc w:val="both"/>
        <w:rPr>
          <w:color w:val="auto"/>
          <w:sz w:val="22"/>
          <w:szCs w:val="22"/>
        </w:rPr>
      </w:pPr>
      <w:r>
        <w:rPr>
          <w:b/>
          <w:bCs/>
          <w:color w:val="auto"/>
          <w:sz w:val="28"/>
          <w:szCs w:val="28"/>
        </w:rPr>
        <w:lastRenderedPageBreak/>
        <w:t>11.4.4 D</w:t>
      </w:r>
      <w:r>
        <w:rPr>
          <w:b/>
          <w:bCs/>
          <w:color w:val="auto"/>
          <w:sz w:val="22"/>
          <w:szCs w:val="22"/>
        </w:rPr>
        <w:t xml:space="preserve">EL </w:t>
      </w:r>
      <w:r>
        <w:rPr>
          <w:b/>
          <w:bCs/>
          <w:color w:val="auto"/>
          <w:sz w:val="28"/>
          <w:szCs w:val="28"/>
        </w:rPr>
        <w:t>(</w:t>
      </w:r>
      <w:r>
        <w:rPr>
          <w:b/>
          <w:bCs/>
          <w:color w:val="auto"/>
          <w:sz w:val="22"/>
          <w:szCs w:val="22"/>
        </w:rPr>
        <w:t>DE LA</w:t>
      </w:r>
      <w:r>
        <w:rPr>
          <w:b/>
          <w:bCs/>
          <w:color w:val="auto"/>
          <w:sz w:val="28"/>
          <w:szCs w:val="28"/>
        </w:rPr>
        <w:t>) J</w:t>
      </w:r>
      <w:r>
        <w:rPr>
          <w:b/>
          <w:bCs/>
          <w:color w:val="auto"/>
          <w:sz w:val="22"/>
          <w:szCs w:val="22"/>
        </w:rPr>
        <w:t>EFE</w:t>
      </w:r>
      <w:r>
        <w:rPr>
          <w:b/>
          <w:bCs/>
          <w:color w:val="auto"/>
          <w:sz w:val="28"/>
          <w:szCs w:val="28"/>
        </w:rPr>
        <w:t>(</w:t>
      </w:r>
      <w:r>
        <w:rPr>
          <w:b/>
          <w:bCs/>
          <w:color w:val="auto"/>
          <w:sz w:val="22"/>
          <w:szCs w:val="22"/>
        </w:rPr>
        <w:t>A</w:t>
      </w:r>
      <w:r>
        <w:rPr>
          <w:b/>
          <w:bCs/>
          <w:color w:val="auto"/>
          <w:sz w:val="28"/>
          <w:szCs w:val="28"/>
        </w:rPr>
        <w:t xml:space="preserve">) </w:t>
      </w:r>
      <w:r>
        <w:rPr>
          <w:b/>
          <w:bCs/>
          <w:color w:val="auto"/>
          <w:sz w:val="22"/>
          <w:szCs w:val="22"/>
        </w:rPr>
        <w:t xml:space="preserve">DE </w:t>
      </w:r>
      <w:r>
        <w:rPr>
          <w:b/>
          <w:bCs/>
          <w:color w:val="auto"/>
          <w:sz w:val="28"/>
          <w:szCs w:val="28"/>
        </w:rPr>
        <w:t>D</w:t>
      </w:r>
      <w:r>
        <w:rPr>
          <w:b/>
          <w:bCs/>
          <w:color w:val="auto"/>
          <w:sz w:val="22"/>
          <w:szCs w:val="22"/>
        </w:rPr>
        <w:t xml:space="preserve">EPARTAMENTO DE </w:t>
      </w:r>
      <w:r>
        <w:rPr>
          <w:b/>
          <w:bCs/>
          <w:color w:val="auto"/>
          <w:sz w:val="28"/>
          <w:szCs w:val="28"/>
        </w:rPr>
        <w:t>G</w:t>
      </w:r>
      <w:r>
        <w:rPr>
          <w:b/>
          <w:bCs/>
          <w:color w:val="auto"/>
          <w:sz w:val="22"/>
          <w:szCs w:val="22"/>
        </w:rPr>
        <w:t xml:space="preserve">ESTIÓN </w:t>
      </w:r>
      <w:r>
        <w:rPr>
          <w:b/>
          <w:bCs/>
          <w:color w:val="auto"/>
          <w:sz w:val="28"/>
          <w:szCs w:val="28"/>
        </w:rPr>
        <w:t>T</w:t>
      </w:r>
      <w:r>
        <w:rPr>
          <w:b/>
          <w:bCs/>
          <w:color w:val="auto"/>
          <w:sz w:val="22"/>
          <w:szCs w:val="22"/>
        </w:rPr>
        <w:t xml:space="preserve">ECNOLÓGICA Y </w:t>
      </w:r>
      <w:r>
        <w:rPr>
          <w:b/>
          <w:bCs/>
          <w:color w:val="auto"/>
          <w:sz w:val="28"/>
          <w:szCs w:val="28"/>
        </w:rPr>
        <w:t>V</w:t>
      </w:r>
      <w:r>
        <w:rPr>
          <w:b/>
          <w:bCs/>
          <w:color w:val="auto"/>
          <w:sz w:val="22"/>
          <w:szCs w:val="22"/>
        </w:rPr>
        <w:t xml:space="preserve">INCULACIÓN O SU EQUIVALENTE EN LOS </w:t>
      </w:r>
      <w:r>
        <w:rPr>
          <w:b/>
          <w:bCs/>
          <w:color w:val="auto"/>
          <w:sz w:val="28"/>
          <w:szCs w:val="28"/>
        </w:rPr>
        <w:t>I</w:t>
      </w:r>
      <w:r>
        <w:rPr>
          <w:b/>
          <w:bCs/>
          <w:color w:val="auto"/>
          <w:sz w:val="22"/>
          <w:szCs w:val="22"/>
        </w:rPr>
        <w:t xml:space="preserve">NSTITUTOS </w:t>
      </w:r>
      <w:r>
        <w:rPr>
          <w:b/>
          <w:bCs/>
          <w:color w:val="auto"/>
          <w:sz w:val="28"/>
          <w:szCs w:val="28"/>
        </w:rPr>
        <w:t>T</w:t>
      </w:r>
      <w:r>
        <w:rPr>
          <w:b/>
          <w:bCs/>
          <w:color w:val="auto"/>
          <w:sz w:val="22"/>
          <w:szCs w:val="22"/>
        </w:rPr>
        <w:t xml:space="preserve">ECNOLÓGICOS </w:t>
      </w:r>
      <w:r>
        <w:rPr>
          <w:b/>
          <w:bCs/>
          <w:color w:val="auto"/>
          <w:sz w:val="28"/>
          <w:szCs w:val="28"/>
        </w:rPr>
        <w:t>D</w:t>
      </w:r>
      <w:r>
        <w:rPr>
          <w:b/>
          <w:bCs/>
          <w:color w:val="auto"/>
          <w:sz w:val="22"/>
          <w:szCs w:val="22"/>
        </w:rPr>
        <w:t xml:space="preserve">ESCENTRALIZADOS </w:t>
      </w:r>
    </w:p>
    <w:p w:rsidR="00E55556" w:rsidRDefault="00E55556" w:rsidP="00E55556">
      <w:pPr>
        <w:pStyle w:val="Default"/>
        <w:spacing w:line="276" w:lineRule="auto"/>
        <w:jc w:val="both"/>
        <w:rPr>
          <w:color w:val="auto"/>
          <w:sz w:val="23"/>
          <w:szCs w:val="23"/>
        </w:rPr>
      </w:pPr>
      <w:r>
        <w:rPr>
          <w:color w:val="auto"/>
          <w:sz w:val="23"/>
          <w:szCs w:val="23"/>
        </w:rPr>
        <w:t xml:space="preserve">11.4.4.1 Es responsable de realizar las gestiones de vinculación con sectores públicos o privados, que tengan programas de desarrollo comunitario o que tengan disponibilidad de recibir a prestadores de Servicio Social considerando el objetivo que se debe cumplir al realizarlo. </w:t>
      </w:r>
    </w:p>
    <w:p w:rsidR="00E55556" w:rsidRDefault="00E55556" w:rsidP="00E55556">
      <w:pPr>
        <w:pStyle w:val="Default"/>
        <w:spacing w:line="276" w:lineRule="auto"/>
        <w:jc w:val="both"/>
        <w:rPr>
          <w:color w:val="auto"/>
          <w:sz w:val="23"/>
          <w:szCs w:val="23"/>
        </w:rPr>
      </w:pPr>
      <w:r>
        <w:rPr>
          <w:color w:val="auto"/>
          <w:sz w:val="23"/>
          <w:szCs w:val="23"/>
        </w:rPr>
        <w:t xml:space="preserve">11.4.4.2 Es responsable de elaborar las estrategias adecuadas para informar al estudiante sobre el concepto, objetivo, importancia del Servicio Social y su procedimiento para realizarlo. </w:t>
      </w:r>
    </w:p>
    <w:p w:rsidR="00E55556" w:rsidRDefault="00E55556" w:rsidP="00E55556">
      <w:pPr>
        <w:pStyle w:val="Default"/>
        <w:spacing w:line="276" w:lineRule="auto"/>
        <w:jc w:val="both"/>
        <w:rPr>
          <w:color w:val="auto"/>
          <w:sz w:val="23"/>
          <w:szCs w:val="23"/>
        </w:rPr>
      </w:pPr>
      <w:r>
        <w:rPr>
          <w:color w:val="auto"/>
          <w:sz w:val="23"/>
          <w:szCs w:val="23"/>
        </w:rPr>
        <w:t xml:space="preserve">11.4.4.3 Es el encargado de publicar la convocatoria de Servicio Social y realizar pláticas de inducción. </w:t>
      </w:r>
    </w:p>
    <w:p w:rsidR="00E55556" w:rsidRDefault="00E55556" w:rsidP="00E55556">
      <w:pPr>
        <w:pStyle w:val="Default"/>
        <w:spacing w:line="276" w:lineRule="auto"/>
        <w:jc w:val="both"/>
        <w:rPr>
          <w:color w:val="auto"/>
          <w:sz w:val="23"/>
          <w:szCs w:val="23"/>
        </w:rPr>
      </w:pPr>
      <w:r>
        <w:rPr>
          <w:color w:val="auto"/>
          <w:sz w:val="23"/>
          <w:szCs w:val="23"/>
        </w:rPr>
        <w:t xml:space="preserve">11.4.4.4 Recibe propuestas de programas de Servicio Social y las solicitudes de prestadores, por parte de las dependencias y departamentos académicos, en relación a estas propuestas desarrolla los proyectos, verificando que existan las bases de concertación con las dependencias, si no existen dichas concertaciones, se procede a la elaboración y firma del acuerdo de colaboración para la realización del Servicio Social. </w:t>
      </w:r>
    </w:p>
    <w:p w:rsidR="00E55556" w:rsidRDefault="00E55556" w:rsidP="00E55556">
      <w:pPr>
        <w:pStyle w:val="Default"/>
        <w:spacing w:line="276" w:lineRule="auto"/>
        <w:jc w:val="both"/>
        <w:rPr>
          <w:color w:val="auto"/>
          <w:sz w:val="23"/>
          <w:szCs w:val="23"/>
        </w:rPr>
      </w:pPr>
      <w:r>
        <w:rPr>
          <w:color w:val="auto"/>
          <w:sz w:val="23"/>
          <w:szCs w:val="23"/>
        </w:rPr>
        <w:t xml:space="preserve">11.4.4.5 Desarrolla el plan semestral de Servicio Social con los proyectos autorizados por el (la) Director(a) del Instituto, previa recomendación por el Comité Académico. </w:t>
      </w:r>
    </w:p>
    <w:p w:rsidR="00E55556" w:rsidRDefault="00E55556" w:rsidP="00E55556">
      <w:pPr>
        <w:pStyle w:val="Default"/>
        <w:spacing w:line="276" w:lineRule="auto"/>
        <w:jc w:val="both"/>
        <w:rPr>
          <w:color w:val="auto"/>
          <w:sz w:val="23"/>
          <w:szCs w:val="23"/>
        </w:rPr>
      </w:pPr>
      <w:r>
        <w:rPr>
          <w:color w:val="auto"/>
          <w:sz w:val="23"/>
          <w:szCs w:val="23"/>
        </w:rPr>
        <w:t xml:space="preserve">11.4.4.6 Presenta a la Subdirección de Planeación y Vinculación del Instituto el plan semestral de Servicio Social, éste a su vez lo pone a consideración y autorización del (de la) Director(a) del Instituto. </w:t>
      </w:r>
    </w:p>
    <w:p w:rsidR="00E55556" w:rsidRDefault="00E55556" w:rsidP="00E55556">
      <w:pPr>
        <w:pStyle w:val="Default"/>
        <w:spacing w:line="276" w:lineRule="auto"/>
        <w:jc w:val="both"/>
        <w:rPr>
          <w:color w:val="auto"/>
        </w:rPr>
      </w:pPr>
      <w:r>
        <w:rPr>
          <w:color w:val="auto"/>
          <w:sz w:val="23"/>
          <w:szCs w:val="23"/>
        </w:rPr>
        <w:t xml:space="preserve">11.4.4.7 Asigna un registro al estudiante en función de los proyectos de Servicio Social autorizados por el (la) Director(a) del Instituto, previa recomendación por el Comité Académico, acorde al perfil de carrera del estudiante interesado y genera expediente al prestador de Servicio Social. </w:t>
      </w:r>
    </w:p>
    <w:p w:rsidR="00E55556" w:rsidRDefault="00E55556" w:rsidP="00E55556">
      <w:pPr>
        <w:pStyle w:val="Default"/>
        <w:pageBreakBefore/>
        <w:spacing w:line="276" w:lineRule="auto"/>
        <w:jc w:val="both"/>
        <w:rPr>
          <w:color w:val="auto"/>
          <w:sz w:val="23"/>
          <w:szCs w:val="23"/>
        </w:rPr>
      </w:pPr>
      <w:r>
        <w:rPr>
          <w:color w:val="auto"/>
          <w:sz w:val="23"/>
          <w:szCs w:val="23"/>
        </w:rPr>
        <w:lastRenderedPageBreak/>
        <w:t xml:space="preserve">11.4.4.8 Recibe carta de aceptación, plan de trabajo; evaluación y autoevaluación cualitativa bimestral y final, reporte final así como la carta de terminación firmada y sellada por la dependencia en donde el estudiante realizó su Servicio Social. </w:t>
      </w:r>
    </w:p>
    <w:p w:rsidR="00E55556" w:rsidRDefault="00E55556" w:rsidP="00E55556">
      <w:pPr>
        <w:pStyle w:val="Default"/>
        <w:spacing w:line="276" w:lineRule="auto"/>
        <w:jc w:val="both"/>
        <w:rPr>
          <w:color w:val="auto"/>
          <w:sz w:val="23"/>
          <w:szCs w:val="23"/>
        </w:rPr>
      </w:pPr>
      <w:r>
        <w:rPr>
          <w:color w:val="auto"/>
          <w:sz w:val="23"/>
          <w:szCs w:val="23"/>
        </w:rPr>
        <w:t xml:space="preserve">11.4.4.9 Revisa el expediente y entrega constancia de terminación de servicio social en original, firmada y sellada al estudiante y copia al Departamento de Servicios Escolares o su equivalente en los Institutos Tecnológicos Descentralizados.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2"/>
          <w:szCs w:val="22"/>
        </w:rPr>
      </w:pPr>
      <w:r>
        <w:rPr>
          <w:b/>
          <w:bCs/>
          <w:color w:val="auto"/>
          <w:sz w:val="28"/>
          <w:szCs w:val="28"/>
        </w:rPr>
        <w:t>11.4.5 D</w:t>
      </w:r>
      <w:r>
        <w:rPr>
          <w:b/>
          <w:bCs/>
          <w:color w:val="auto"/>
          <w:sz w:val="22"/>
          <w:szCs w:val="22"/>
        </w:rPr>
        <w:t xml:space="preserve">EL </w:t>
      </w:r>
      <w:r>
        <w:rPr>
          <w:b/>
          <w:bCs/>
          <w:color w:val="auto"/>
          <w:sz w:val="28"/>
          <w:szCs w:val="28"/>
        </w:rPr>
        <w:t>D</w:t>
      </w:r>
      <w:r>
        <w:rPr>
          <w:b/>
          <w:bCs/>
          <w:color w:val="auto"/>
          <w:sz w:val="22"/>
          <w:szCs w:val="22"/>
        </w:rPr>
        <w:t xml:space="preserve">EPARTAMENTO DE </w:t>
      </w:r>
      <w:r>
        <w:rPr>
          <w:b/>
          <w:bCs/>
          <w:color w:val="auto"/>
          <w:sz w:val="28"/>
          <w:szCs w:val="28"/>
        </w:rPr>
        <w:t>S</w:t>
      </w:r>
      <w:r>
        <w:rPr>
          <w:b/>
          <w:bCs/>
          <w:color w:val="auto"/>
          <w:sz w:val="22"/>
          <w:szCs w:val="22"/>
        </w:rPr>
        <w:t xml:space="preserve">ERVICIOS </w:t>
      </w:r>
      <w:r>
        <w:rPr>
          <w:b/>
          <w:bCs/>
          <w:color w:val="auto"/>
          <w:sz w:val="28"/>
          <w:szCs w:val="28"/>
        </w:rPr>
        <w:t>E</w:t>
      </w:r>
      <w:r>
        <w:rPr>
          <w:b/>
          <w:bCs/>
          <w:color w:val="auto"/>
          <w:sz w:val="22"/>
          <w:szCs w:val="22"/>
        </w:rPr>
        <w:t xml:space="preserve">SCOLARES O SU EQUIVALENTE EN LOS </w:t>
      </w:r>
      <w:r>
        <w:rPr>
          <w:b/>
          <w:bCs/>
          <w:color w:val="auto"/>
          <w:sz w:val="28"/>
          <w:szCs w:val="28"/>
        </w:rPr>
        <w:t>I</w:t>
      </w:r>
      <w:r>
        <w:rPr>
          <w:b/>
          <w:bCs/>
          <w:color w:val="auto"/>
          <w:sz w:val="22"/>
          <w:szCs w:val="22"/>
        </w:rPr>
        <w:t xml:space="preserve">NSTITUTOS </w:t>
      </w:r>
      <w:r>
        <w:rPr>
          <w:b/>
          <w:bCs/>
          <w:color w:val="auto"/>
          <w:sz w:val="28"/>
          <w:szCs w:val="28"/>
        </w:rPr>
        <w:t>T</w:t>
      </w:r>
      <w:r>
        <w:rPr>
          <w:b/>
          <w:bCs/>
          <w:color w:val="auto"/>
          <w:sz w:val="22"/>
          <w:szCs w:val="22"/>
        </w:rPr>
        <w:t xml:space="preserve">ECNOLÓGICOS </w:t>
      </w:r>
      <w:r>
        <w:rPr>
          <w:b/>
          <w:bCs/>
          <w:color w:val="auto"/>
          <w:sz w:val="28"/>
          <w:szCs w:val="28"/>
        </w:rPr>
        <w:t>D</w:t>
      </w:r>
      <w:r>
        <w:rPr>
          <w:b/>
          <w:bCs/>
          <w:color w:val="auto"/>
          <w:sz w:val="22"/>
          <w:szCs w:val="22"/>
        </w:rPr>
        <w:t xml:space="preserve">ESCENTRALIZADOS </w:t>
      </w:r>
    </w:p>
    <w:p w:rsidR="00E55556" w:rsidRDefault="00E55556" w:rsidP="00E55556">
      <w:pPr>
        <w:pStyle w:val="Default"/>
        <w:spacing w:line="276" w:lineRule="auto"/>
        <w:jc w:val="both"/>
        <w:rPr>
          <w:color w:val="auto"/>
          <w:sz w:val="23"/>
          <w:szCs w:val="23"/>
        </w:rPr>
      </w:pPr>
      <w:r>
        <w:rPr>
          <w:color w:val="auto"/>
          <w:sz w:val="23"/>
          <w:szCs w:val="23"/>
        </w:rPr>
        <w:t xml:space="preserve">11.4.5.1 Recibe del Departamento de Gestión Tecnológica y Vinculación o su equivalente en los Institutos Tecnológicos Descentralizados, el oficio de la relación de los estudiantes que alcanzaron un nivel de desempeño mayor o igual a suficiente y copia de la carta de liberación de cada estudiante prestador de Servicio Social. </w:t>
      </w:r>
    </w:p>
    <w:p w:rsidR="00E55556" w:rsidRDefault="00E55556" w:rsidP="00E55556">
      <w:pPr>
        <w:pStyle w:val="Default"/>
        <w:spacing w:line="276" w:lineRule="auto"/>
        <w:jc w:val="both"/>
        <w:rPr>
          <w:color w:val="auto"/>
          <w:sz w:val="23"/>
          <w:szCs w:val="23"/>
        </w:rPr>
      </w:pPr>
    </w:p>
    <w:p w:rsidR="00E55556" w:rsidRDefault="00E55556" w:rsidP="00E55556">
      <w:pPr>
        <w:pStyle w:val="Default"/>
        <w:spacing w:line="276" w:lineRule="auto"/>
        <w:jc w:val="both"/>
        <w:rPr>
          <w:color w:val="auto"/>
          <w:sz w:val="22"/>
          <w:szCs w:val="22"/>
        </w:rPr>
      </w:pPr>
      <w:r>
        <w:rPr>
          <w:b/>
          <w:bCs/>
          <w:color w:val="auto"/>
          <w:sz w:val="28"/>
          <w:szCs w:val="28"/>
        </w:rPr>
        <w:t>11.5 D</w:t>
      </w:r>
      <w:r>
        <w:rPr>
          <w:b/>
          <w:bCs/>
          <w:color w:val="auto"/>
          <w:sz w:val="22"/>
          <w:szCs w:val="22"/>
        </w:rPr>
        <w:t xml:space="preserve">ISPOSICIONES GENERALES </w:t>
      </w:r>
    </w:p>
    <w:p w:rsidR="00E55556" w:rsidRDefault="00E55556" w:rsidP="00E55556">
      <w:pPr>
        <w:pStyle w:val="Default"/>
        <w:spacing w:line="276" w:lineRule="auto"/>
        <w:jc w:val="both"/>
        <w:rPr>
          <w:color w:val="auto"/>
        </w:rPr>
      </w:pPr>
      <w:r>
        <w:rPr>
          <w:color w:val="auto"/>
          <w:sz w:val="23"/>
          <w:szCs w:val="23"/>
        </w:rPr>
        <w:t>En el caso de interrumpir el servicio social, el (la) Jefe(a) de Oficina de Servicio Social y Desarrollo Comunitario o su equivalente en los Institutos Tecnológicos Descentralizados, analiza las causas, y de ser debidamente justificado, genera un oficio con el número de horas cumplidas, en el momento de la interrupción, anexando los documentos que las acrediten, (Reporte Bimestral, Instrumentos de Evaluación y Autoevaluación Cualitativa del Desempeño), siendo necesarios para solicitar la autorización al (</w:t>
      </w:r>
      <w:proofErr w:type="spellStart"/>
      <w:r>
        <w:rPr>
          <w:color w:val="auto"/>
          <w:sz w:val="23"/>
          <w:szCs w:val="23"/>
        </w:rPr>
        <w:t>a la</w:t>
      </w:r>
      <w:proofErr w:type="spellEnd"/>
      <w:r>
        <w:rPr>
          <w:color w:val="auto"/>
          <w:sz w:val="23"/>
          <w:szCs w:val="23"/>
        </w:rPr>
        <w:t xml:space="preserve">) Jefe(a) del Departamento de Gestión Tecnológica y Vinculación o su equivalente en los Institutos Tecnológicos Descentralizados, y con esto continuar con su servicio social posteriormente. </w:t>
      </w:r>
      <w:bookmarkStart w:id="0" w:name="_GoBack"/>
      <w:bookmarkEnd w:id="0"/>
    </w:p>
    <w:p w:rsidR="00E55556" w:rsidRDefault="00E55556" w:rsidP="00E55556">
      <w:pPr>
        <w:pStyle w:val="Default"/>
        <w:pageBreakBefore/>
        <w:spacing w:line="276" w:lineRule="auto"/>
        <w:jc w:val="both"/>
        <w:rPr>
          <w:color w:val="auto"/>
          <w:sz w:val="23"/>
          <w:szCs w:val="23"/>
        </w:rPr>
      </w:pPr>
      <w:r>
        <w:rPr>
          <w:color w:val="auto"/>
          <w:sz w:val="23"/>
          <w:szCs w:val="23"/>
        </w:rPr>
        <w:lastRenderedPageBreak/>
        <w:t>En el caso de que el prestador no acredite el servicio social, el (la) Jefe(a) de Oficina de Servicio Social y Desarrollo Comunitario o su equivalente en los Institutos Tecnológicos Descentralizados, analiza las causas y presenta reporte al (la) Jefe(a) del Departamento de Gestión Tecnológica y Vinculación o su equivalente en los Institutos Tecnológicos Descentralizados, y de contraponerse al presente lineamiento, se turna al Comité Académico para su revisión y recomendación al (</w:t>
      </w:r>
      <w:proofErr w:type="spellStart"/>
      <w:r>
        <w:rPr>
          <w:color w:val="auto"/>
          <w:sz w:val="23"/>
          <w:szCs w:val="23"/>
        </w:rPr>
        <w:t>a la</w:t>
      </w:r>
      <w:proofErr w:type="spellEnd"/>
      <w:r>
        <w:rPr>
          <w:color w:val="auto"/>
          <w:sz w:val="23"/>
          <w:szCs w:val="23"/>
        </w:rPr>
        <w:t xml:space="preserve">) Director(a) del Instituto. </w:t>
      </w:r>
    </w:p>
    <w:p w:rsidR="00540DC1" w:rsidRDefault="00E55556" w:rsidP="00E55556">
      <w:pPr>
        <w:spacing w:line="276" w:lineRule="auto"/>
        <w:jc w:val="both"/>
      </w:pPr>
      <w:r>
        <w:rPr>
          <w:sz w:val="23"/>
          <w:szCs w:val="23"/>
        </w:rPr>
        <w:t>Las situaciones no previstas en el presente Lineamiento serán analizadas por el Comité Académico del Instituto y presentadas como recomendaciones al (</w:t>
      </w:r>
      <w:proofErr w:type="spellStart"/>
      <w:r>
        <w:rPr>
          <w:sz w:val="23"/>
          <w:szCs w:val="23"/>
        </w:rPr>
        <w:t>a la</w:t>
      </w:r>
      <w:proofErr w:type="spellEnd"/>
      <w:r>
        <w:rPr>
          <w:sz w:val="23"/>
          <w:szCs w:val="23"/>
        </w:rPr>
        <w:t>) Director(a) del Instituto para su dictamen.</w:t>
      </w:r>
    </w:p>
    <w:sectPr w:rsidR="00540D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56"/>
    <w:rsid w:val="00001487"/>
    <w:rsid w:val="00024546"/>
    <w:rsid w:val="0003297E"/>
    <w:rsid w:val="00042E20"/>
    <w:rsid w:val="00043520"/>
    <w:rsid w:val="000469E4"/>
    <w:rsid w:val="00057710"/>
    <w:rsid w:val="000716A6"/>
    <w:rsid w:val="00074179"/>
    <w:rsid w:val="000741DB"/>
    <w:rsid w:val="0009336A"/>
    <w:rsid w:val="000A208B"/>
    <w:rsid w:val="000A649E"/>
    <w:rsid w:val="000C0B0C"/>
    <w:rsid w:val="000C1034"/>
    <w:rsid w:val="000D3DD1"/>
    <w:rsid w:val="001172C8"/>
    <w:rsid w:val="001341DB"/>
    <w:rsid w:val="00146C65"/>
    <w:rsid w:val="0017408D"/>
    <w:rsid w:val="001741A0"/>
    <w:rsid w:val="00175BB2"/>
    <w:rsid w:val="00180A7B"/>
    <w:rsid w:val="00181C3B"/>
    <w:rsid w:val="001B7219"/>
    <w:rsid w:val="001C6F44"/>
    <w:rsid w:val="001F5038"/>
    <w:rsid w:val="00224644"/>
    <w:rsid w:val="00225A03"/>
    <w:rsid w:val="00227E57"/>
    <w:rsid w:val="00277832"/>
    <w:rsid w:val="002B0E67"/>
    <w:rsid w:val="002B1A81"/>
    <w:rsid w:val="002B5D70"/>
    <w:rsid w:val="002D42DA"/>
    <w:rsid w:val="002D76FC"/>
    <w:rsid w:val="002F5821"/>
    <w:rsid w:val="003045DB"/>
    <w:rsid w:val="00310445"/>
    <w:rsid w:val="003275EF"/>
    <w:rsid w:val="00331862"/>
    <w:rsid w:val="00337EC7"/>
    <w:rsid w:val="00351FCC"/>
    <w:rsid w:val="0035762E"/>
    <w:rsid w:val="00365BCE"/>
    <w:rsid w:val="00395513"/>
    <w:rsid w:val="003C112A"/>
    <w:rsid w:val="003E1714"/>
    <w:rsid w:val="003F6DBE"/>
    <w:rsid w:val="003F7977"/>
    <w:rsid w:val="0040111E"/>
    <w:rsid w:val="00401909"/>
    <w:rsid w:val="00401B67"/>
    <w:rsid w:val="00410463"/>
    <w:rsid w:val="00415589"/>
    <w:rsid w:val="00417446"/>
    <w:rsid w:val="00420FDC"/>
    <w:rsid w:val="004241E0"/>
    <w:rsid w:val="00444851"/>
    <w:rsid w:val="0044582A"/>
    <w:rsid w:val="00450672"/>
    <w:rsid w:val="004944C8"/>
    <w:rsid w:val="004A53B4"/>
    <w:rsid w:val="004B7ECD"/>
    <w:rsid w:val="004E5D9F"/>
    <w:rsid w:val="00504672"/>
    <w:rsid w:val="00504A21"/>
    <w:rsid w:val="00524194"/>
    <w:rsid w:val="005250BE"/>
    <w:rsid w:val="00540DC1"/>
    <w:rsid w:val="005420FC"/>
    <w:rsid w:val="00544C68"/>
    <w:rsid w:val="005673BE"/>
    <w:rsid w:val="005725DB"/>
    <w:rsid w:val="0057676D"/>
    <w:rsid w:val="0058777B"/>
    <w:rsid w:val="005A7098"/>
    <w:rsid w:val="005B32F8"/>
    <w:rsid w:val="005E0D9E"/>
    <w:rsid w:val="005E400E"/>
    <w:rsid w:val="00641EE0"/>
    <w:rsid w:val="006527F2"/>
    <w:rsid w:val="006635BF"/>
    <w:rsid w:val="00664D5C"/>
    <w:rsid w:val="00670B67"/>
    <w:rsid w:val="00681B26"/>
    <w:rsid w:val="006B1446"/>
    <w:rsid w:val="006C390B"/>
    <w:rsid w:val="006D2421"/>
    <w:rsid w:val="006D6781"/>
    <w:rsid w:val="006E13E0"/>
    <w:rsid w:val="006E2D4C"/>
    <w:rsid w:val="006E31BB"/>
    <w:rsid w:val="006E4F13"/>
    <w:rsid w:val="006E50C1"/>
    <w:rsid w:val="006F24A8"/>
    <w:rsid w:val="006F7472"/>
    <w:rsid w:val="00703A62"/>
    <w:rsid w:val="0071549F"/>
    <w:rsid w:val="00721370"/>
    <w:rsid w:val="0072422A"/>
    <w:rsid w:val="0073676E"/>
    <w:rsid w:val="00745C35"/>
    <w:rsid w:val="00746C99"/>
    <w:rsid w:val="0076099A"/>
    <w:rsid w:val="00776E8C"/>
    <w:rsid w:val="0078062D"/>
    <w:rsid w:val="00783C55"/>
    <w:rsid w:val="00795D3E"/>
    <w:rsid w:val="007A4E32"/>
    <w:rsid w:val="007A72F7"/>
    <w:rsid w:val="007C5616"/>
    <w:rsid w:val="007C61B6"/>
    <w:rsid w:val="007E4C05"/>
    <w:rsid w:val="007E6591"/>
    <w:rsid w:val="00807CD4"/>
    <w:rsid w:val="00811563"/>
    <w:rsid w:val="008136FA"/>
    <w:rsid w:val="00837AA6"/>
    <w:rsid w:val="00846BAB"/>
    <w:rsid w:val="00850E0F"/>
    <w:rsid w:val="0086021D"/>
    <w:rsid w:val="00860C46"/>
    <w:rsid w:val="008635F1"/>
    <w:rsid w:val="00863ED5"/>
    <w:rsid w:val="00877308"/>
    <w:rsid w:val="00884B76"/>
    <w:rsid w:val="0089623F"/>
    <w:rsid w:val="008B4CA2"/>
    <w:rsid w:val="008C0031"/>
    <w:rsid w:val="008C68B3"/>
    <w:rsid w:val="008D1A4F"/>
    <w:rsid w:val="008D67C3"/>
    <w:rsid w:val="008E5C75"/>
    <w:rsid w:val="008F4215"/>
    <w:rsid w:val="00902D2A"/>
    <w:rsid w:val="0090712C"/>
    <w:rsid w:val="00912E38"/>
    <w:rsid w:val="00933512"/>
    <w:rsid w:val="0093630A"/>
    <w:rsid w:val="009448E7"/>
    <w:rsid w:val="0095368B"/>
    <w:rsid w:val="00982162"/>
    <w:rsid w:val="009920ED"/>
    <w:rsid w:val="009B710D"/>
    <w:rsid w:val="009C4DFB"/>
    <w:rsid w:val="009D2F93"/>
    <w:rsid w:val="009F3E8F"/>
    <w:rsid w:val="009F5A1A"/>
    <w:rsid w:val="00A045A5"/>
    <w:rsid w:val="00A057F4"/>
    <w:rsid w:val="00A15C27"/>
    <w:rsid w:val="00A244E3"/>
    <w:rsid w:val="00A247E5"/>
    <w:rsid w:val="00A25341"/>
    <w:rsid w:val="00A332D1"/>
    <w:rsid w:val="00AD708C"/>
    <w:rsid w:val="00AE1AC3"/>
    <w:rsid w:val="00B01350"/>
    <w:rsid w:val="00B21A73"/>
    <w:rsid w:val="00B354BC"/>
    <w:rsid w:val="00B40454"/>
    <w:rsid w:val="00B530E5"/>
    <w:rsid w:val="00B609E0"/>
    <w:rsid w:val="00BB10EB"/>
    <w:rsid w:val="00BB1F56"/>
    <w:rsid w:val="00BC57C3"/>
    <w:rsid w:val="00BC6799"/>
    <w:rsid w:val="00BD303F"/>
    <w:rsid w:val="00BD7693"/>
    <w:rsid w:val="00C37308"/>
    <w:rsid w:val="00C41A91"/>
    <w:rsid w:val="00C459EF"/>
    <w:rsid w:val="00C5486A"/>
    <w:rsid w:val="00C564A1"/>
    <w:rsid w:val="00C74401"/>
    <w:rsid w:val="00C9474D"/>
    <w:rsid w:val="00C96F60"/>
    <w:rsid w:val="00CA0E65"/>
    <w:rsid w:val="00CA4C70"/>
    <w:rsid w:val="00CC2A59"/>
    <w:rsid w:val="00CD6CC7"/>
    <w:rsid w:val="00CE6CB9"/>
    <w:rsid w:val="00CE7B42"/>
    <w:rsid w:val="00D03EC2"/>
    <w:rsid w:val="00D1481E"/>
    <w:rsid w:val="00D4008F"/>
    <w:rsid w:val="00D40C57"/>
    <w:rsid w:val="00D46D87"/>
    <w:rsid w:val="00D62E6E"/>
    <w:rsid w:val="00D70D65"/>
    <w:rsid w:val="00D830B5"/>
    <w:rsid w:val="00D85BAD"/>
    <w:rsid w:val="00D91C2D"/>
    <w:rsid w:val="00DA1790"/>
    <w:rsid w:val="00DB377B"/>
    <w:rsid w:val="00DB478E"/>
    <w:rsid w:val="00DD2874"/>
    <w:rsid w:val="00DF1355"/>
    <w:rsid w:val="00DF7D95"/>
    <w:rsid w:val="00E05F14"/>
    <w:rsid w:val="00E07F7F"/>
    <w:rsid w:val="00E110E5"/>
    <w:rsid w:val="00E1592F"/>
    <w:rsid w:val="00E17805"/>
    <w:rsid w:val="00E27DDD"/>
    <w:rsid w:val="00E31B6D"/>
    <w:rsid w:val="00E55556"/>
    <w:rsid w:val="00E92B7F"/>
    <w:rsid w:val="00EA10EC"/>
    <w:rsid w:val="00EB72E9"/>
    <w:rsid w:val="00EC3AC9"/>
    <w:rsid w:val="00ED481C"/>
    <w:rsid w:val="00ED7214"/>
    <w:rsid w:val="00EE1994"/>
    <w:rsid w:val="00EE19CD"/>
    <w:rsid w:val="00EE26AA"/>
    <w:rsid w:val="00F0056C"/>
    <w:rsid w:val="00F01A50"/>
    <w:rsid w:val="00F05949"/>
    <w:rsid w:val="00F07789"/>
    <w:rsid w:val="00F111AB"/>
    <w:rsid w:val="00F13C4E"/>
    <w:rsid w:val="00F17F28"/>
    <w:rsid w:val="00F3388B"/>
    <w:rsid w:val="00F51FEE"/>
    <w:rsid w:val="00F548FC"/>
    <w:rsid w:val="00F64D90"/>
    <w:rsid w:val="00F66AAC"/>
    <w:rsid w:val="00F70DD8"/>
    <w:rsid w:val="00F973EA"/>
    <w:rsid w:val="00FA7FF7"/>
    <w:rsid w:val="00FB03FD"/>
    <w:rsid w:val="00FE2C34"/>
    <w:rsid w:val="00FF0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84E9D-F6DA-41E2-AEE6-A6EF02D1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5555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2342</Words>
  <Characters>12887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medina diaz</dc:creator>
  <cp:keywords/>
  <dc:description/>
  <cp:lastModifiedBy>emery medina diaz</cp:lastModifiedBy>
  <cp:revision>1</cp:revision>
  <dcterms:created xsi:type="dcterms:W3CDTF">2019-08-15T00:20:00Z</dcterms:created>
  <dcterms:modified xsi:type="dcterms:W3CDTF">2019-08-15T00:26:00Z</dcterms:modified>
</cp:coreProperties>
</file>