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F8E" w:rsidRPr="006C1F8E" w:rsidRDefault="006C1F8E" w:rsidP="006C1F8E">
      <w:pPr>
        <w:bidi/>
        <w:jc w:val="both"/>
        <w:rPr>
          <w:rFonts w:eastAsia="Times New Roman"/>
          <w:b/>
          <w:bCs/>
          <w:sz w:val="28"/>
          <w:szCs w:val="28"/>
        </w:rPr>
      </w:pPr>
      <w:r w:rsidRPr="006C1F8E">
        <w:rPr>
          <w:rFonts w:eastAsia="Times New Roman" w:hint="cs"/>
          <w:b/>
          <w:bCs/>
          <w:sz w:val="28"/>
          <w:szCs w:val="28"/>
          <w:rtl/>
        </w:rPr>
        <w:t>القضية رقم: ٢/٢٥٨٩/ق لعام ١٤٢٣هـ</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الحكم الابتدائي رقم: 15/د/تج/9 لعام ١٤٢٤هـ</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 xml:space="preserve">حكم التدقيق رقم: </w:t>
      </w:r>
      <w:r w:rsidRPr="006C1F8E">
        <w:rPr>
          <w:rFonts w:eastAsia="Times New Roman" w:hint="cs"/>
          <w:b/>
          <w:bCs/>
          <w:sz w:val="28"/>
          <w:szCs w:val="28"/>
          <w:rtl/>
          <w:lang w:bidi="fa-IR"/>
        </w:rPr>
        <w:t>۱۲۰/</w:t>
      </w:r>
      <w:r w:rsidRPr="006C1F8E">
        <w:rPr>
          <w:rFonts w:eastAsia="Times New Roman" w:hint="cs"/>
          <w:b/>
          <w:bCs/>
          <w:sz w:val="28"/>
          <w:szCs w:val="28"/>
          <w:rtl/>
        </w:rPr>
        <w:t>ت/ 3 لعام ١٤٢٤هـ</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تاريخ الجلسة: ١٤٢٤/٥/15هـ</w:t>
      </w:r>
    </w:p>
    <w:p w:rsidR="006C1F8E" w:rsidRPr="006C1F8E" w:rsidRDefault="006C1F8E" w:rsidP="006C1F8E">
      <w:pPr>
        <w:bidi/>
        <w:jc w:val="center"/>
        <w:rPr>
          <w:rFonts w:eastAsia="Times New Roman" w:hint="cs"/>
          <w:b/>
          <w:bCs/>
          <w:sz w:val="28"/>
          <w:szCs w:val="28"/>
          <w:rtl/>
        </w:rPr>
      </w:pPr>
      <w:r w:rsidRPr="006C1F8E">
        <w:rPr>
          <w:rFonts w:eastAsia="Times New Roman" w:hint="cs"/>
          <w:b/>
          <w:bCs/>
          <w:sz w:val="28"/>
          <w:szCs w:val="28"/>
          <w:rtl/>
        </w:rPr>
        <w:t>الموضوعات</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 xml:space="preserve">اختصاص - اختصاص ولائي- منازعة </w:t>
      </w:r>
      <w:r w:rsidRPr="006C1F8E">
        <w:rPr>
          <w:rFonts w:eastAsia="Times New Roman" w:hint="cs"/>
          <w:b/>
          <w:bCs/>
          <w:sz w:val="28"/>
          <w:szCs w:val="28"/>
          <w:rtl/>
        </w:rPr>
        <w:t>مصرفية.</w:t>
      </w:r>
    </w:p>
    <w:p w:rsidR="006C1F8E" w:rsidRPr="006C1F8E" w:rsidRDefault="006C1F8E" w:rsidP="006C1F8E">
      <w:pPr>
        <w:bidi/>
        <w:jc w:val="both"/>
        <w:rPr>
          <w:rFonts w:eastAsia="Times New Roman" w:hint="cs"/>
          <w:b/>
          <w:bCs/>
          <w:sz w:val="28"/>
          <w:szCs w:val="28"/>
          <w:rtl/>
        </w:rPr>
      </w:pPr>
    </w:p>
    <w:p w:rsidR="006C1F8E" w:rsidRPr="006C1F8E" w:rsidRDefault="006C1F8E" w:rsidP="006C1F8E">
      <w:pPr>
        <w:bidi/>
        <w:jc w:val="center"/>
        <w:rPr>
          <w:rFonts w:eastAsia="Times New Roman" w:hint="cs"/>
          <w:b/>
          <w:bCs/>
          <w:sz w:val="28"/>
          <w:szCs w:val="28"/>
          <w:rtl/>
        </w:rPr>
      </w:pPr>
      <w:r w:rsidRPr="006C1F8E">
        <w:rPr>
          <w:rFonts w:eastAsia="Times New Roman" w:hint="cs"/>
          <w:b/>
          <w:bCs/>
          <w:sz w:val="28"/>
          <w:szCs w:val="28"/>
          <w:rtl/>
        </w:rPr>
        <w:t>الملخص</w:t>
      </w:r>
    </w:p>
    <w:p w:rsidR="006C1F8E" w:rsidRPr="006C1F8E" w:rsidRDefault="006C1F8E" w:rsidP="006C1F8E">
      <w:pPr>
        <w:bidi/>
        <w:jc w:val="both"/>
        <w:rPr>
          <w:rFonts w:eastAsia="Times New Roman" w:hint="cs"/>
          <w:sz w:val="28"/>
          <w:szCs w:val="28"/>
          <w:rtl/>
        </w:rPr>
      </w:pPr>
      <w:r w:rsidRPr="006C1F8E">
        <w:rPr>
          <w:rFonts w:eastAsia="Times New Roman" w:hint="cs"/>
          <w:sz w:val="28"/>
          <w:szCs w:val="28"/>
          <w:rtl/>
        </w:rPr>
        <w:t>يذكر المدعي أنه كان مديراً لفرع أحد البنوك وأنه قام بتسهيل إجراءات للمدعى عليه بحيث صرف له مبلغ أكثر من رصيده بما يسمى كشف حساب، باعتباره سلفة على حساب العميل يقوم فيما بعد بسدادها؛ إلا أنه لم يسددها فخصمها البنك من حسابه ويطالب المدعى عليه بسدادها - شرط الدعوى التي يختص ديوان المظالم بنظرها كهيئة قضاء تجاري أن تكون بين تاجرين وفي أمور تجارية، وعدم تحقق ذلك في هذه الدعوى - مؤدى ذلك: عدم اختصاص ديوان المظالم ولائيا بنظر الدعوى.</w:t>
      </w:r>
    </w:p>
    <w:p w:rsidR="006C1F8E" w:rsidRPr="006C1F8E" w:rsidRDefault="006C1F8E" w:rsidP="006C1F8E">
      <w:pPr>
        <w:bidi/>
        <w:jc w:val="both"/>
        <w:rPr>
          <w:rFonts w:eastAsia="Times New Roman" w:hint="cs"/>
          <w:sz w:val="28"/>
          <w:szCs w:val="28"/>
          <w:rtl/>
        </w:rPr>
      </w:pPr>
    </w:p>
    <w:p w:rsidR="006C1F8E" w:rsidRPr="006C1F8E" w:rsidRDefault="006C1F8E" w:rsidP="006C1F8E">
      <w:pPr>
        <w:bidi/>
        <w:jc w:val="center"/>
        <w:rPr>
          <w:rFonts w:eastAsia="Times New Roman" w:hint="cs"/>
          <w:b/>
          <w:bCs/>
          <w:sz w:val="28"/>
          <w:szCs w:val="28"/>
          <w:rtl/>
        </w:rPr>
      </w:pPr>
      <w:r w:rsidRPr="006C1F8E">
        <w:rPr>
          <w:rFonts w:eastAsia="Times New Roman" w:hint="cs"/>
          <w:b/>
          <w:bCs/>
          <w:sz w:val="28"/>
          <w:szCs w:val="28"/>
          <w:rtl/>
        </w:rPr>
        <w:t>الوقائع</w:t>
      </w:r>
    </w:p>
    <w:p w:rsidR="006C1F8E" w:rsidRPr="006C1F8E" w:rsidRDefault="006C1F8E" w:rsidP="006C1F8E">
      <w:pPr>
        <w:bidi/>
        <w:jc w:val="both"/>
        <w:rPr>
          <w:rFonts w:eastAsia="Times New Roman" w:hint="cs"/>
          <w:sz w:val="28"/>
          <w:szCs w:val="28"/>
          <w:rtl/>
        </w:rPr>
      </w:pPr>
      <w:r w:rsidRPr="006C1F8E">
        <w:rPr>
          <w:rFonts w:eastAsia="Times New Roman" w:hint="cs"/>
          <w:sz w:val="28"/>
          <w:szCs w:val="28"/>
          <w:rtl/>
        </w:rPr>
        <w:t xml:space="preserve">تتلخص وقائع هذه الدعوى بالقدر اللازم لإصدار الحكم فيها، أنّه ورد للديوان خطاب وكيل إمارة منطقة الباحة رقم (...) </w:t>
      </w:r>
      <w:r w:rsidRPr="006C1F8E">
        <w:rPr>
          <w:rFonts w:eastAsia="Times New Roman" w:hint="cs"/>
          <w:sz w:val="28"/>
          <w:szCs w:val="28"/>
          <w:rtl/>
        </w:rPr>
        <w:t>و١٤٢٣</w:t>
      </w:r>
      <w:r w:rsidRPr="006C1F8E">
        <w:rPr>
          <w:rFonts w:eastAsia="Times New Roman" w:hint="cs"/>
          <w:sz w:val="28"/>
          <w:szCs w:val="28"/>
          <w:rtl/>
        </w:rPr>
        <w:t>/</w:t>
      </w:r>
      <w:r w:rsidRPr="006C1F8E">
        <w:rPr>
          <w:rFonts w:eastAsia="Times New Roman" w:hint="cs"/>
          <w:sz w:val="28"/>
          <w:szCs w:val="28"/>
          <w:rtl/>
          <w:lang w:bidi="fa-IR"/>
        </w:rPr>
        <w:t>۱۱/۳</w:t>
      </w:r>
      <w:r w:rsidRPr="006C1F8E">
        <w:rPr>
          <w:rFonts w:eastAsia="Times New Roman" w:hint="cs"/>
          <w:sz w:val="28"/>
          <w:szCs w:val="28"/>
          <w:rtl/>
        </w:rPr>
        <w:t xml:space="preserve">هـ مرفقاً به استدعاء مقدم لمحافظ </w:t>
      </w:r>
      <w:r w:rsidRPr="006C1F8E">
        <w:rPr>
          <w:rFonts w:eastAsia="Times New Roman" w:hint="cs"/>
          <w:sz w:val="28"/>
          <w:szCs w:val="28"/>
          <w:rtl/>
        </w:rPr>
        <w:t>بالجرش</w:t>
      </w:r>
      <w:r w:rsidRPr="006C1F8E">
        <w:rPr>
          <w:rFonts w:eastAsia="Times New Roman" w:hint="eastAsia"/>
          <w:sz w:val="28"/>
          <w:szCs w:val="28"/>
          <w:rtl/>
        </w:rPr>
        <w:t>ي</w:t>
      </w:r>
      <w:r w:rsidRPr="006C1F8E">
        <w:rPr>
          <w:rFonts w:eastAsia="Times New Roman" w:hint="cs"/>
          <w:sz w:val="28"/>
          <w:szCs w:val="28"/>
          <w:rtl/>
        </w:rPr>
        <w:t xml:space="preserve"> من.....، الوكيل الشرعي عن.....، يطالب فيه بإعطائه مبلغاً وقدره عشرون ألفاً وخمسمائة وأربعة وثمانون ريالاً من المدعو..... وطلب وكيل إمارة الباحة في خطابه من الديوان النظر في قضية المذكور، فقيدت قضية وأحيلت إلى هذه الدائرة. وبجلسة ١٤٢٤/١/٢٢هـ حضر المدّعي أصالة.....، وسألته الدائرة عن دعواه، فأجاب قائلاً: كنت أعمل مدير فرع شركة..... بمدينة </w:t>
      </w:r>
      <w:r w:rsidRPr="006C1F8E">
        <w:rPr>
          <w:rFonts w:eastAsia="Times New Roman" w:hint="cs"/>
          <w:sz w:val="28"/>
          <w:szCs w:val="28"/>
          <w:rtl/>
        </w:rPr>
        <w:t>بالجرش</w:t>
      </w:r>
      <w:r w:rsidRPr="006C1F8E">
        <w:rPr>
          <w:rFonts w:eastAsia="Times New Roman" w:hint="eastAsia"/>
          <w:sz w:val="28"/>
          <w:szCs w:val="28"/>
          <w:rtl/>
        </w:rPr>
        <w:t>ي</w:t>
      </w:r>
      <w:r w:rsidRPr="006C1F8E">
        <w:rPr>
          <w:rFonts w:eastAsia="Times New Roman" w:hint="cs"/>
          <w:sz w:val="28"/>
          <w:szCs w:val="28"/>
          <w:rtl/>
        </w:rPr>
        <w:t xml:space="preserve"> وقد أتاني أحد عملاء البنك وهو المدعى عليه في هذه الدعوى، وقمت بتسهيل إجراءاته بحيث صرف له مبلغ أكثر من رصيده الموجود في الفرع، وهذا يسمى كشف الحساب؛ وهو عبارة عن سلفة على حساب العميل يقوم بسدادها، ولكن العميل لم يسدد المبلغ مما اضطر الشركة إلى خصم المبلغ المدعى به من حسابي وقدره عشرون ألفاً وخمسمائة وأربعة وثمانون ريالا، وإنني أطالب المدعى عليه شخصياً بدفع هذا المبلغ.</w:t>
      </w:r>
    </w:p>
    <w:p w:rsidR="006C1F8E" w:rsidRPr="006C1F8E" w:rsidRDefault="006C1F8E" w:rsidP="006C1F8E">
      <w:pPr>
        <w:bidi/>
        <w:jc w:val="both"/>
        <w:rPr>
          <w:rFonts w:eastAsia="Times New Roman" w:hint="cs"/>
          <w:sz w:val="28"/>
          <w:szCs w:val="28"/>
          <w:rtl/>
        </w:rPr>
      </w:pPr>
    </w:p>
    <w:p w:rsidR="006C1F8E" w:rsidRPr="006C1F8E" w:rsidRDefault="006C1F8E" w:rsidP="006C1F8E">
      <w:pPr>
        <w:bidi/>
        <w:jc w:val="center"/>
        <w:rPr>
          <w:rFonts w:eastAsia="Times New Roman" w:hint="cs"/>
          <w:b/>
          <w:bCs/>
          <w:sz w:val="28"/>
          <w:szCs w:val="28"/>
          <w:rtl/>
        </w:rPr>
      </w:pPr>
      <w:r w:rsidRPr="006C1F8E">
        <w:rPr>
          <w:rFonts w:eastAsia="Times New Roman" w:hint="cs"/>
          <w:b/>
          <w:bCs/>
          <w:sz w:val="28"/>
          <w:szCs w:val="28"/>
          <w:rtl/>
        </w:rPr>
        <w:t>الأسباب</w:t>
      </w:r>
    </w:p>
    <w:p w:rsidR="006C1F8E" w:rsidRPr="006C1F8E" w:rsidRDefault="006C1F8E" w:rsidP="006C1F8E">
      <w:pPr>
        <w:bidi/>
        <w:jc w:val="both"/>
        <w:rPr>
          <w:rFonts w:eastAsia="Times New Roman" w:hint="cs"/>
          <w:sz w:val="28"/>
          <w:szCs w:val="28"/>
          <w:rtl/>
        </w:rPr>
      </w:pPr>
      <w:r w:rsidRPr="006C1F8E">
        <w:rPr>
          <w:rFonts w:eastAsia="Times New Roman" w:hint="cs"/>
          <w:sz w:val="28"/>
          <w:szCs w:val="28"/>
          <w:rtl/>
        </w:rPr>
        <w:t>حيث إنّه بعد سماع دعوى المدعي تبين للدائرة أن دعواه بهذه الكيفية لا تدخل في اختصاص ديوان المظالم؛ إذ لم يكن العمل الذي قام به المدعي عملاً تجارياً. ولما كان من شرط الدعوى التي يختص ديوان المظالم بنظرها كهيئة قضاء تجاري أن تكون بين تاجرين وفي أمور تجارية محضة فإنه يتعين الحكم بعدم اختصاص الديوان بنظر هذه القضية. فلهذه الأسباب حكمت الدائرة: بعدم اختصاص ديوان المظالم بنظر القضية، والله الموفق، وصلى الله على نبينا محمد وعلى آله وصحبه وسلم.</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هيئة التدقيق</w:t>
      </w:r>
    </w:p>
    <w:p w:rsidR="006C1F8E" w:rsidRPr="006C1F8E" w:rsidRDefault="006C1F8E" w:rsidP="006C1F8E">
      <w:pPr>
        <w:bidi/>
        <w:jc w:val="both"/>
        <w:rPr>
          <w:rFonts w:eastAsia="Times New Roman" w:hint="cs"/>
          <w:sz w:val="28"/>
          <w:szCs w:val="28"/>
          <w:rtl/>
        </w:rPr>
      </w:pPr>
      <w:r w:rsidRPr="006C1F8E">
        <w:rPr>
          <w:rFonts w:eastAsia="Times New Roman" w:hint="cs"/>
          <w:sz w:val="28"/>
          <w:szCs w:val="28"/>
          <w:rtl/>
        </w:rPr>
        <w:t>حكمت الهيئة: بتأييد الحكم رقم (15/د/تج/9 لعام ١٤٢٤هـ) الصادر في القضية رقم (٢/٢٥٨٩/ق لعام ١٤٢٣هـ) فيما انتهى إليه من قضاء. والله الموفق، وصلى الله وسلم على نبينا محمد وعلى آله وصحبه أجمعين.</w:t>
      </w:r>
    </w:p>
    <w:p w:rsidR="006C1F8E" w:rsidRPr="006C1F8E" w:rsidRDefault="006C1F8E" w:rsidP="006C1F8E">
      <w:pPr>
        <w:bidi/>
        <w:jc w:val="both"/>
        <w:rPr>
          <w:rFonts w:eastAsia="Times New Roman" w:hint="cs"/>
          <w:sz w:val="28"/>
          <w:szCs w:val="28"/>
          <w:rtl/>
        </w:rPr>
      </w:pPr>
    </w:p>
    <w:p w:rsidR="006C1F8E" w:rsidRPr="006C1F8E" w:rsidRDefault="006C1F8E" w:rsidP="006C1F8E">
      <w:pPr>
        <w:bidi/>
        <w:jc w:val="both"/>
        <w:rPr>
          <w:rFonts w:eastAsia="Times New Roman" w:hint="cs"/>
          <w:sz w:val="28"/>
          <w:szCs w:val="28"/>
          <w:rtl/>
        </w:rPr>
      </w:pPr>
    </w:p>
    <w:p w:rsidR="006C1F8E" w:rsidRDefault="006C1F8E" w:rsidP="006C1F8E">
      <w:pPr>
        <w:bidi/>
        <w:jc w:val="both"/>
        <w:rPr>
          <w:rFonts w:eastAsia="Times New Roman"/>
          <w:sz w:val="28"/>
          <w:szCs w:val="28"/>
          <w:rtl/>
        </w:rPr>
      </w:pPr>
    </w:p>
    <w:p w:rsidR="006C1F8E" w:rsidRDefault="006C1F8E" w:rsidP="006C1F8E">
      <w:pPr>
        <w:bidi/>
        <w:jc w:val="both"/>
        <w:rPr>
          <w:rFonts w:eastAsia="Times New Roman"/>
          <w:sz w:val="28"/>
          <w:szCs w:val="28"/>
          <w:rtl/>
        </w:rPr>
      </w:pPr>
    </w:p>
    <w:p w:rsidR="006C1F8E" w:rsidRDefault="006C1F8E" w:rsidP="006C1F8E">
      <w:pPr>
        <w:bidi/>
        <w:jc w:val="both"/>
        <w:rPr>
          <w:rFonts w:eastAsia="Times New Roman"/>
          <w:sz w:val="28"/>
          <w:szCs w:val="28"/>
          <w:rtl/>
        </w:rPr>
      </w:pP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lastRenderedPageBreak/>
        <w:t>القضية رقم: 1/1073/ق لعام ١٤٢٦هـ</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الحكم الابتدائي رقم: ١٢١/د/تج/1 لعام ١٤٢٦هـ</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حكم التدقيق رقم: ٣٥٢/ت/1 لعام ١٤٢٦هـ</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تاريخ الجلسة: ١٤٢٦/٦/٦هـ</w:t>
      </w:r>
    </w:p>
    <w:p w:rsidR="006C1F8E" w:rsidRPr="006C1F8E" w:rsidRDefault="006C1F8E" w:rsidP="006C1F8E">
      <w:pPr>
        <w:bidi/>
        <w:jc w:val="center"/>
        <w:rPr>
          <w:rFonts w:eastAsia="Times New Roman" w:hint="cs"/>
          <w:b/>
          <w:bCs/>
          <w:sz w:val="28"/>
          <w:szCs w:val="28"/>
          <w:rtl/>
        </w:rPr>
      </w:pPr>
      <w:r w:rsidRPr="006C1F8E">
        <w:rPr>
          <w:rFonts w:eastAsia="Times New Roman" w:hint="cs"/>
          <w:b/>
          <w:bCs/>
          <w:sz w:val="28"/>
          <w:szCs w:val="28"/>
          <w:rtl/>
        </w:rPr>
        <w:t>الموضوعات</w:t>
      </w: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اختصاص - اختصاص ولائي - منازعات مصرفية - تسليم صكوك.</w:t>
      </w:r>
    </w:p>
    <w:p w:rsidR="006C1F8E" w:rsidRPr="006C1F8E" w:rsidRDefault="006C1F8E" w:rsidP="006C1F8E">
      <w:pPr>
        <w:bidi/>
        <w:jc w:val="both"/>
        <w:rPr>
          <w:rFonts w:eastAsia="Times New Roman" w:hint="cs"/>
          <w:b/>
          <w:bCs/>
          <w:sz w:val="28"/>
          <w:szCs w:val="28"/>
          <w:rtl/>
        </w:rPr>
      </w:pPr>
    </w:p>
    <w:p w:rsidR="006C1F8E" w:rsidRPr="006C1F8E" w:rsidRDefault="006C1F8E" w:rsidP="006C1F8E">
      <w:pPr>
        <w:bidi/>
        <w:jc w:val="center"/>
        <w:rPr>
          <w:rFonts w:eastAsia="Times New Roman" w:hint="cs"/>
          <w:b/>
          <w:bCs/>
          <w:sz w:val="28"/>
          <w:szCs w:val="28"/>
          <w:rtl/>
        </w:rPr>
      </w:pPr>
      <w:r w:rsidRPr="006C1F8E">
        <w:rPr>
          <w:rFonts w:eastAsia="Times New Roman" w:hint="cs"/>
          <w:b/>
          <w:bCs/>
          <w:sz w:val="28"/>
          <w:szCs w:val="28"/>
          <w:rtl/>
        </w:rPr>
        <w:t>الملخص</w:t>
      </w:r>
    </w:p>
    <w:p w:rsidR="006C1F8E" w:rsidRPr="006C1F8E" w:rsidRDefault="006C1F8E" w:rsidP="006C1F8E">
      <w:pPr>
        <w:bidi/>
        <w:jc w:val="both"/>
        <w:rPr>
          <w:rFonts w:eastAsia="Times New Roman" w:hint="cs"/>
          <w:sz w:val="28"/>
          <w:szCs w:val="28"/>
          <w:rtl/>
        </w:rPr>
      </w:pPr>
      <w:r w:rsidRPr="006C1F8E">
        <w:rPr>
          <w:rFonts w:eastAsia="Times New Roman" w:hint="cs"/>
          <w:sz w:val="28"/>
          <w:szCs w:val="28"/>
          <w:rtl/>
        </w:rPr>
        <w:t>مطالبة المدعي إلزام البنك المدعى عليه بإعادة جزء من الصكوك التي سلمها إياه ضماناً لسداد القروض المستلمة من البنك؛ لأن قيمتها الفعلية أعلى من قيمة القروض- قيام المدعي بتسليم المدعى عليه للصكوك ضماناً للبنك مقابل القروض المستلمة منه لا تعد من الأعمال التجارية - مؤدى ذلك: عدم اختصاص القضاء التجاري بنظرها.</w:t>
      </w:r>
    </w:p>
    <w:p w:rsidR="006C1F8E" w:rsidRPr="006C1F8E" w:rsidRDefault="006C1F8E" w:rsidP="006C1F8E">
      <w:pPr>
        <w:bidi/>
        <w:jc w:val="both"/>
        <w:rPr>
          <w:rFonts w:eastAsia="Times New Roman" w:hint="cs"/>
          <w:sz w:val="28"/>
          <w:szCs w:val="28"/>
          <w:rtl/>
        </w:rPr>
      </w:pPr>
    </w:p>
    <w:p w:rsidR="006C1F8E" w:rsidRPr="006C1F8E" w:rsidRDefault="006C1F8E" w:rsidP="006C1F8E">
      <w:pPr>
        <w:bidi/>
        <w:jc w:val="center"/>
        <w:rPr>
          <w:rFonts w:eastAsia="Times New Roman" w:hint="cs"/>
          <w:b/>
          <w:bCs/>
          <w:sz w:val="28"/>
          <w:szCs w:val="28"/>
          <w:rtl/>
        </w:rPr>
      </w:pPr>
      <w:r w:rsidRPr="006C1F8E">
        <w:rPr>
          <w:rFonts w:eastAsia="Times New Roman" w:hint="cs"/>
          <w:b/>
          <w:bCs/>
          <w:sz w:val="28"/>
          <w:szCs w:val="28"/>
          <w:rtl/>
        </w:rPr>
        <w:t>الوقائع</w:t>
      </w:r>
    </w:p>
    <w:p w:rsidR="006C1F8E" w:rsidRPr="006C1F8E" w:rsidRDefault="006C1F8E" w:rsidP="006C1F8E">
      <w:pPr>
        <w:bidi/>
        <w:jc w:val="both"/>
        <w:rPr>
          <w:rFonts w:eastAsia="Times New Roman" w:hint="cs"/>
          <w:sz w:val="28"/>
          <w:szCs w:val="28"/>
          <w:rtl/>
        </w:rPr>
      </w:pPr>
      <w:r w:rsidRPr="006C1F8E">
        <w:rPr>
          <w:rFonts w:eastAsia="Times New Roman" w:hint="cs"/>
          <w:sz w:val="28"/>
          <w:szCs w:val="28"/>
          <w:rtl/>
        </w:rPr>
        <w:t>تتلخص وقائع القضية في أنه تقدم المدعي للديوان بلائحة دعوى جاء فيها أنّه سبق أن اقترض من البنك قروضاً ترتب عليها مبالغ مالية، وقد اتفق مع البنك على تسوية تلك القروض بحيث يقوم بدفع جزء من المبالغ المستحقة عليه على أقساط شهرية قيمة كل قسط(55,000) ريال، أما باقي المبالغ المستحقة وقدرها ( 400,000) ريال، فقد تنازل عن أرضه مقابل المبلغ، كما قام البنك برهن عدة صكوك له ضماناً لسداد الأقساط التي تم الاتفاق عليها والتي لم يبق منها إلا مبلغ (٠٠٠, ٢٧٥ ) ريال، وذكر أن الصكوك الموجودة لدى البنك تساوي أضعافاً مضاعفة للمبالغ المستحقة؛ وبناء عليه طلب من البنك إعادة بعض الصكوك، ويبقى لديه ما يعادل المبالغ التي يطالبه بها البنك؛ إلا أن البنك رفض ذلك، وطلب إلزام البنك بإرجاع صكوكه وتقسيط المبلغ المستحق في ذمته على أقساط سنوية قيمة كل قسط (55,000) ريال، وتعويضه عما لحقه من أضرار بسبب حجز صكوكه من قبل البنك المدعى عليه. وقد تم قيد لائحة الدعوى قضية وبعد إحالتها إلى هذه الدائرة حضر وكيل المدعي... وقدم شرحاً لدعوى موكله لا يخرج عما قدمه موكله في لائحة دعواه.</w:t>
      </w:r>
    </w:p>
    <w:p w:rsidR="006C1F8E" w:rsidRPr="006C1F8E" w:rsidRDefault="006C1F8E" w:rsidP="006C1F8E">
      <w:pPr>
        <w:bidi/>
        <w:jc w:val="both"/>
        <w:rPr>
          <w:rFonts w:eastAsia="Times New Roman" w:hint="cs"/>
          <w:sz w:val="28"/>
          <w:szCs w:val="28"/>
          <w:rtl/>
        </w:rPr>
      </w:pPr>
    </w:p>
    <w:p w:rsidR="006C1F8E" w:rsidRPr="006C1F8E" w:rsidRDefault="006C1F8E" w:rsidP="006C1F8E">
      <w:pPr>
        <w:bidi/>
        <w:jc w:val="center"/>
        <w:rPr>
          <w:rFonts w:eastAsia="Times New Roman" w:hint="cs"/>
          <w:b/>
          <w:bCs/>
          <w:sz w:val="28"/>
          <w:szCs w:val="28"/>
          <w:rtl/>
        </w:rPr>
      </w:pPr>
      <w:r w:rsidRPr="006C1F8E">
        <w:rPr>
          <w:rFonts w:eastAsia="Times New Roman" w:hint="cs"/>
          <w:b/>
          <w:bCs/>
          <w:sz w:val="28"/>
          <w:szCs w:val="28"/>
          <w:rtl/>
        </w:rPr>
        <w:t>الأسباب</w:t>
      </w:r>
    </w:p>
    <w:p w:rsidR="006C1F8E" w:rsidRPr="006C1F8E" w:rsidRDefault="006C1F8E" w:rsidP="006C1F8E">
      <w:pPr>
        <w:bidi/>
        <w:jc w:val="both"/>
        <w:rPr>
          <w:rFonts w:eastAsia="Times New Roman" w:hint="cs"/>
          <w:sz w:val="28"/>
          <w:szCs w:val="28"/>
          <w:rtl/>
        </w:rPr>
      </w:pPr>
      <w:r w:rsidRPr="006C1F8E">
        <w:rPr>
          <w:rFonts w:eastAsia="Times New Roman" w:hint="cs"/>
          <w:sz w:val="28"/>
          <w:szCs w:val="28"/>
          <w:rtl/>
        </w:rPr>
        <w:t>وحيث إن الاختصاص الولائي من المسائل الأولية التي يتعين على الدائرة بحثها قبل الدخول في موضوع الدعوى ولو لم يكن ذلك بناء على طلب الخصوم. وحيث إن حقيقة طلب المدعي هو إلزام البنك المدعى عليه بتسليمه الصكوك التي سلمها إياه ضماناً للقروض المستلمة من البنك. وحيث إن ما قام به المدعي من تسليمه ضماناً للصكوك للبنك مقابل القروض المستلمة منه وطلب المدعي إعادتها له لا تعد من الأعمال التجارية التي تختص الدوائر التجارية بالديوان بنظرها. لذا فإنّ هذه المنازعة تخرج عن ولاية الديوان بصفته المختص بنظر المنازعات التجارية. لذلك حكمت الدائرة: بعدم اختصاص ديوان المظالم ولائياً بنظر الدعوى المقامة من… ضد بنك..... والله الموفق وصلى الله على نبينا محمد وعلى آله وصحبه وسلم.</w:t>
      </w:r>
    </w:p>
    <w:p w:rsidR="006C1F8E" w:rsidRPr="006C1F8E" w:rsidRDefault="006C1F8E" w:rsidP="006C1F8E">
      <w:pPr>
        <w:bidi/>
        <w:jc w:val="both"/>
        <w:rPr>
          <w:rFonts w:eastAsia="Times New Roman" w:hint="cs"/>
          <w:sz w:val="28"/>
          <w:szCs w:val="28"/>
          <w:rtl/>
        </w:rPr>
      </w:pPr>
    </w:p>
    <w:p w:rsidR="006C1F8E" w:rsidRPr="006C1F8E" w:rsidRDefault="006C1F8E" w:rsidP="006C1F8E">
      <w:pPr>
        <w:bidi/>
        <w:jc w:val="both"/>
        <w:rPr>
          <w:rFonts w:eastAsia="Times New Roman" w:hint="cs"/>
          <w:b/>
          <w:bCs/>
          <w:sz w:val="28"/>
          <w:szCs w:val="28"/>
          <w:rtl/>
        </w:rPr>
      </w:pPr>
      <w:r w:rsidRPr="006C1F8E">
        <w:rPr>
          <w:rFonts w:eastAsia="Times New Roman" w:hint="cs"/>
          <w:b/>
          <w:bCs/>
          <w:sz w:val="28"/>
          <w:szCs w:val="28"/>
          <w:rtl/>
        </w:rPr>
        <w:t>هيئة التدقيق</w:t>
      </w:r>
    </w:p>
    <w:p w:rsidR="006C1F8E" w:rsidRPr="006C1F8E" w:rsidRDefault="006C1F8E" w:rsidP="006C1F8E">
      <w:pPr>
        <w:bidi/>
        <w:jc w:val="both"/>
        <w:rPr>
          <w:rFonts w:eastAsia="Times New Roman" w:hint="cs"/>
          <w:sz w:val="28"/>
          <w:szCs w:val="28"/>
          <w:rtl/>
        </w:rPr>
      </w:pPr>
      <w:r w:rsidRPr="006C1F8E">
        <w:rPr>
          <w:rFonts w:eastAsia="Times New Roman" w:hint="cs"/>
          <w:sz w:val="28"/>
          <w:szCs w:val="28"/>
          <w:rtl/>
        </w:rPr>
        <w:t xml:space="preserve">حكمت </w:t>
      </w:r>
      <w:r w:rsidRPr="006C1F8E">
        <w:rPr>
          <w:rFonts w:eastAsia="Times New Roman" w:hint="cs"/>
          <w:sz w:val="28"/>
          <w:szCs w:val="28"/>
          <w:rtl/>
        </w:rPr>
        <w:t>الهيئة:</w:t>
      </w:r>
      <w:r w:rsidRPr="006C1F8E">
        <w:rPr>
          <w:rFonts w:eastAsia="Times New Roman" w:hint="cs"/>
          <w:sz w:val="28"/>
          <w:szCs w:val="28"/>
          <w:rtl/>
        </w:rPr>
        <w:t xml:space="preserve"> بتأييد الحكم رقم (</w:t>
      </w:r>
      <w:r w:rsidRPr="006C1F8E">
        <w:rPr>
          <w:rFonts w:eastAsia="Times New Roman" w:hint="cs"/>
          <w:sz w:val="28"/>
          <w:szCs w:val="28"/>
          <w:rtl/>
          <w:lang w:bidi="fa-IR"/>
        </w:rPr>
        <w:t>۱۲۱/</w:t>
      </w:r>
      <w:r w:rsidRPr="006C1F8E">
        <w:rPr>
          <w:rFonts w:eastAsia="Times New Roman" w:hint="cs"/>
          <w:sz w:val="28"/>
          <w:szCs w:val="28"/>
          <w:rtl/>
        </w:rPr>
        <w:t>د/تج/1 لعام ١٤٢٦هـ) الصادرة في القضية </w:t>
      </w:r>
      <w:r w:rsidRPr="006C1F8E">
        <w:rPr>
          <w:rFonts w:eastAsia="Times New Roman" w:hint="cs"/>
          <w:color w:val="000000"/>
          <w:sz w:val="28"/>
          <w:szCs w:val="28"/>
          <w:rtl/>
        </w:rPr>
        <w:t>رقم (1/1073/ق لعام ١٤٢٦هـ) فيما انتهى إليه من قضاء </w:t>
      </w:r>
      <w:r w:rsidRPr="006C1F8E">
        <w:rPr>
          <w:rFonts w:eastAsia="Times New Roman" w:hint="cs"/>
          <w:sz w:val="28"/>
          <w:szCs w:val="28"/>
          <w:rtl/>
        </w:rPr>
        <w:t>والله الموفق، وصلى الله وسلم على نبينا محمد وعلى آله وصحبه أجمعين.</w:t>
      </w:r>
    </w:p>
    <w:p w:rsidR="0096757F" w:rsidRPr="006C1F8E" w:rsidRDefault="0096757F" w:rsidP="006C1F8E">
      <w:pPr>
        <w:jc w:val="both"/>
        <w:rPr>
          <w:sz w:val="28"/>
          <w:szCs w:val="28"/>
        </w:rPr>
      </w:pPr>
      <w:bookmarkStart w:id="0" w:name="_GoBack"/>
      <w:bookmarkEnd w:id="0"/>
    </w:p>
    <w:sectPr w:rsidR="0096757F" w:rsidRPr="006C1F8E"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385"/>
    <w:rsid w:val="006C1F8E"/>
    <w:rsid w:val="007E2385"/>
    <w:rsid w:val="0096757F"/>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6AC12"/>
  <w15:chartTrackingRefBased/>
  <w15:docId w15:val="{6853AE60-3C32-4257-A041-01B58D726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1F8E"/>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10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2022-08-23T09:40:00Z</dcterms:created>
  <dcterms:modified xsi:type="dcterms:W3CDTF">2022-08-23T09:44:00Z</dcterms:modified>
</cp:coreProperties>
</file>