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85A1FE" w14:textId="25D7046D" w:rsidR="001938D0" w:rsidRPr="000965DF" w:rsidRDefault="001938D0" w:rsidP="008C51B2">
      <w:pPr>
        <w:spacing w:line="240" w:lineRule="auto"/>
        <w:jc w:val="both"/>
        <w:rPr>
          <w:rFonts w:eastAsia="Times New Roman" w:cs="Royal Arabic"/>
          <w:b/>
          <w:bCs/>
          <w:sz w:val="34"/>
          <w:szCs w:val="34"/>
          <w:rtl/>
        </w:rPr>
      </w:pPr>
      <w:r w:rsidRPr="000965DF">
        <w:rPr>
          <w:rFonts w:eastAsia="Times New Roman" w:cs="Royal Arabic" w:hint="cs"/>
          <w:b/>
          <w:bCs/>
          <w:sz w:val="34"/>
          <w:szCs w:val="34"/>
          <w:rtl/>
        </w:rPr>
        <w:t xml:space="preserve">أصحاب الفضيلة رئيس وأعضاء محكمة الاستئناف الإدارية </w:t>
      </w:r>
      <w:r w:rsidRPr="0020270B">
        <w:rPr>
          <w:rFonts w:eastAsia="Times New Roman" w:cs="Royal Arabic" w:hint="cs"/>
          <w:b/>
          <w:bCs/>
          <w:sz w:val="34"/>
          <w:szCs w:val="34"/>
          <w:highlight w:val="yellow"/>
          <w:rtl/>
        </w:rPr>
        <w:t xml:space="preserve">بمنطقة </w:t>
      </w:r>
      <w:r w:rsidR="0020270B" w:rsidRPr="0020270B">
        <w:rPr>
          <w:rFonts w:eastAsia="Times New Roman" w:cs="Royal Arabic" w:hint="cs"/>
          <w:b/>
          <w:bCs/>
          <w:sz w:val="34"/>
          <w:szCs w:val="34"/>
          <w:highlight w:val="yellow"/>
          <w:rtl/>
        </w:rPr>
        <w:t>الرياض</w:t>
      </w:r>
      <w:r w:rsidR="000965DF">
        <w:rPr>
          <w:rFonts w:eastAsia="Times New Roman" w:cs="Royal Arabic" w:hint="cs"/>
          <w:b/>
          <w:bCs/>
          <w:sz w:val="34"/>
          <w:szCs w:val="34"/>
          <w:rtl/>
        </w:rPr>
        <w:t xml:space="preserve">     سلمهم الله</w:t>
      </w:r>
    </w:p>
    <w:p w14:paraId="6E7496DB" w14:textId="3000CDB3" w:rsidR="001938D0" w:rsidRPr="008C51B2" w:rsidRDefault="00F21417" w:rsidP="00645320">
      <w:pPr>
        <w:spacing w:after="0" w:line="240" w:lineRule="auto"/>
        <w:jc w:val="both"/>
        <w:rPr>
          <w:rFonts w:eastAsia="Times New Roman" w:cs="Royal Arabic"/>
          <w:sz w:val="34"/>
          <w:szCs w:val="34"/>
          <w:rtl/>
        </w:rPr>
      </w:pPr>
      <w:r>
        <w:rPr>
          <w:rFonts w:eastAsia="Times New Roman" w:cs="Royal Arabic" w:hint="cs"/>
          <w:sz w:val="34"/>
          <w:szCs w:val="34"/>
          <w:rtl/>
        </w:rPr>
        <w:t xml:space="preserve">بشأن </w:t>
      </w:r>
      <w:r w:rsidR="001938D0" w:rsidRPr="008C51B2">
        <w:rPr>
          <w:rFonts w:eastAsia="Times New Roman" w:cs="Royal Arabic" w:hint="cs"/>
          <w:sz w:val="34"/>
          <w:szCs w:val="34"/>
          <w:rtl/>
        </w:rPr>
        <w:t xml:space="preserve">الحكم الصادر بتاريخ </w:t>
      </w:r>
      <w:r w:rsidR="00645320">
        <w:rPr>
          <w:rFonts w:eastAsia="Times New Roman" w:cs="Royal Arabic" w:hint="cs"/>
          <w:sz w:val="34"/>
          <w:szCs w:val="34"/>
          <w:rtl/>
        </w:rPr>
        <w:t>8</w:t>
      </w:r>
      <w:r w:rsidR="001938D0" w:rsidRPr="008C51B2">
        <w:rPr>
          <w:rFonts w:eastAsia="Times New Roman" w:cs="Royal Arabic" w:hint="cs"/>
          <w:sz w:val="34"/>
          <w:szCs w:val="34"/>
          <w:rtl/>
        </w:rPr>
        <w:t>/</w:t>
      </w:r>
      <w:r w:rsidR="00645320">
        <w:rPr>
          <w:rFonts w:eastAsia="Times New Roman" w:cs="Royal Arabic" w:hint="cs"/>
          <w:sz w:val="34"/>
          <w:szCs w:val="34"/>
          <w:rtl/>
        </w:rPr>
        <w:t>6</w:t>
      </w:r>
      <w:r w:rsidR="001938D0" w:rsidRPr="008C51B2">
        <w:rPr>
          <w:rFonts w:eastAsia="Times New Roman" w:cs="Royal Arabic" w:hint="cs"/>
          <w:sz w:val="34"/>
          <w:szCs w:val="34"/>
          <w:rtl/>
        </w:rPr>
        <w:t>/144</w:t>
      </w:r>
      <w:r w:rsidR="0020270B">
        <w:rPr>
          <w:rFonts w:eastAsia="Times New Roman" w:cs="Royal Arabic" w:hint="cs"/>
          <w:sz w:val="34"/>
          <w:szCs w:val="34"/>
          <w:rtl/>
        </w:rPr>
        <w:t>6</w:t>
      </w:r>
      <w:r w:rsidR="001938D0" w:rsidRPr="008C51B2">
        <w:rPr>
          <w:rFonts w:eastAsia="Times New Roman" w:cs="Royal Arabic" w:hint="cs"/>
          <w:sz w:val="34"/>
          <w:szCs w:val="34"/>
          <w:rtl/>
        </w:rPr>
        <w:t>هـ في الدعوى الإدارية رقم (</w:t>
      </w:r>
      <w:r w:rsidR="00645320">
        <w:rPr>
          <w:rFonts w:eastAsia="Times New Roman" w:cs="Royal Arabic" w:hint="cs"/>
          <w:sz w:val="34"/>
          <w:szCs w:val="34"/>
          <w:rtl/>
        </w:rPr>
        <w:t>1094</w:t>
      </w:r>
      <w:r w:rsidR="001938D0" w:rsidRPr="008C51B2">
        <w:rPr>
          <w:rFonts w:eastAsia="Times New Roman" w:cs="Royal Arabic" w:hint="cs"/>
          <w:sz w:val="34"/>
          <w:szCs w:val="34"/>
          <w:rtl/>
        </w:rPr>
        <w:t>) لعام 144</w:t>
      </w:r>
      <w:r w:rsidR="00645320">
        <w:rPr>
          <w:rFonts w:eastAsia="Times New Roman" w:cs="Royal Arabic" w:hint="cs"/>
          <w:sz w:val="34"/>
          <w:szCs w:val="34"/>
          <w:rtl/>
        </w:rPr>
        <w:t>6</w:t>
      </w:r>
      <w:r w:rsidR="001938D0" w:rsidRPr="008C51B2">
        <w:rPr>
          <w:rFonts w:eastAsia="Times New Roman" w:cs="Royal Arabic" w:hint="cs"/>
          <w:sz w:val="34"/>
          <w:szCs w:val="34"/>
          <w:rtl/>
        </w:rPr>
        <w:t xml:space="preserve">هـ عن الدائرة </w:t>
      </w:r>
      <w:r w:rsidR="0020270B">
        <w:rPr>
          <w:rFonts w:eastAsia="Times New Roman" w:cs="Royal Arabic" w:hint="cs"/>
          <w:sz w:val="34"/>
          <w:szCs w:val="34"/>
          <w:rtl/>
        </w:rPr>
        <w:t>الثالثة</w:t>
      </w:r>
      <w:r w:rsidR="001938D0" w:rsidRPr="008C51B2">
        <w:rPr>
          <w:rFonts w:eastAsia="Times New Roman" w:cs="Royal Arabic" w:hint="cs"/>
          <w:sz w:val="34"/>
          <w:szCs w:val="34"/>
          <w:rtl/>
        </w:rPr>
        <w:t xml:space="preserve"> بالمحكمة الإدارية </w:t>
      </w:r>
      <w:r w:rsidR="0020270B">
        <w:rPr>
          <w:rFonts w:eastAsia="Times New Roman" w:cs="Royal Arabic" w:hint="cs"/>
          <w:sz w:val="34"/>
          <w:szCs w:val="34"/>
          <w:rtl/>
        </w:rPr>
        <w:t>بالرياض</w:t>
      </w:r>
      <w:r w:rsidR="001938D0" w:rsidRPr="008C51B2">
        <w:rPr>
          <w:rFonts w:eastAsia="Times New Roman" w:cs="Royal Arabic" w:hint="cs"/>
          <w:sz w:val="34"/>
          <w:szCs w:val="34"/>
          <w:rtl/>
        </w:rPr>
        <w:t xml:space="preserve">، في الدعوى المرفوعة من </w:t>
      </w:r>
      <w:r w:rsidR="00645320">
        <w:rPr>
          <w:rFonts w:eastAsia="Times New Roman" w:cs="Royal Arabic" w:hint="cs"/>
          <w:sz w:val="34"/>
          <w:szCs w:val="34"/>
          <w:rtl/>
        </w:rPr>
        <w:t xml:space="preserve">هند فهيد </w:t>
      </w:r>
      <w:proofErr w:type="gramStart"/>
      <w:r w:rsidR="00645320">
        <w:rPr>
          <w:rFonts w:eastAsia="Times New Roman" w:cs="Royal Arabic" w:hint="cs"/>
          <w:sz w:val="34"/>
          <w:szCs w:val="34"/>
          <w:rtl/>
        </w:rPr>
        <w:t>عبدالله</w:t>
      </w:r>
      <w:proofErr w:type="gramEnd"/>
      <w:r w:rsidR="00645320">
        <w:rPr>
          <w:rFonts w:eastAsia="Times New Roman" w:cs="Royal Arabic" w:hint="cs"/>
          <w:sz w:val="34"/>
          <w:szCs w:val="34"/>
          <w:rtl/>
        </w:rPr>
        <w:t xml:space="preserve"> الصعب (هوية وطنية 1044049235)،</w:t>
      </w:r>
      <w:r w:rsidR="0020270B">
        <w:rPr>
          <w:rFonts w:eastAsia="Times New Roman" w:cs="Royal Arabic" w:hint="cs"/>
          <w:sz w:val="34"/>
          <w:szCs w:val="34"/>
          <w:rtl/>
        </w:rPr>
        <w:t xml:space="preserve"> </w:t>
      </w:r>
      <w:r w:rsidR="001938D0" w:rsidRPr="008C51B2">
        <w:rPr>
          <w:rFonts w:eastAsia="Times New Roman" w:cs="Royal Arabic" w:hint="cs"/>
          <w:sz w:val="34"/>
          <w:szCs w:val="34"/>
          <w:rtl/>
        </w:rPr>
        <w:t>ضد</w:t>
      </w:r>
      <w:r w:rsidR="0020270B">
        <w:rPr>
          <w:rFonts w:eastAsia="Times New Roman" w:cs="Royal Arabic" w:hint="cs"/>
          <w:sz w:val="34"/>
          <w:szCs w:val="34"/>
          <w:rtl/>
        </w:rPr>
        <w:t>/ ديوان المظالم.</w:t>
      </w:r>
      <w:r w:rsidR="001938D0" w:rsidRPr="008C51B2">
        <w:rPr>
          <w:rFonts w:eastAsia="Times New Roman" w:cs="Royal Arabic" w:hint="cs"/>
          <w:sz w:val="34"/>
          <w:szCs w:val="34"/>
          <w:rtl/>
        </w:rPr>
        <w:t xml:space="preserve"> </w:t>
      </w:r>
    </w:p>
    <w:p w14:paraId="61EB463A" w14:textId="13A50113" w:rsidR="0020270B" w:rsidRDefault="0020270B" w:rsidP="00267B59">
      <w:pPr>
        <w:spacing w:before="240" w:after="0" w:line="240" w:lineRule="auto"/>
        <w:jc w:val="both"/>
        <w:rPr>
          <w:rFonts w:eastAsia="Times New Roman" w:cs="Royal Arabic"/>
          <w:sz w:val="34"/>
          <w:szCs w:val="34"/>
          <w:rtl/>
        </w:rPr>
      </w:pPr>
      <w:r>
        <w:rPr>
          <w:rFonts w:eastAsia="Times New Roman" w:cs="Royal Arabic" w:hint="cs"/>
          <w:sz w:val="34"/>
          <w:szCs w:val="34"/>
          <w:rtl/>
        </w:rPr>
        <w:t>موضوع الدعوى ونتيجة الحكم:</w:t>
      </w:r>
    </w:p>
    <w:p w14:paraId="0B3DE972" w14:textId="09F3CE98" w:rsidR="0020270B" w:rsidRDefault="0020270B" w:rsidP="00897689">
      <w:pPr>
        <w:spacing w:line="240" w:lineRule="auto"/>
        <w:jc w:val="both"/>
        <w:rPr>
          <w:rFonts w:eastAsia="Times New Roman" w:cs="Royal Arabic"/>
          <w:sz w:val="34"/>
          <w:szCs w:val="34"/>
          <w:rtl/>
        </w:rPr>
      </w:pPr>
      <w:r>
        <w:rPr>
          <w:rFonts w:eastAsia="Times New Roman" w:cs="Royal Arabic" w:hint="cs"/>
          <w:sz w:val="34"/>
          <w:szCs w:val="34"/>
          <w:rtl/>
        </w:rPr>
        <w:t xml:space="preserve">يتلخص موضوع الدعوى في </w:t>
      </w:r>
      <w:r w:rsidRPr="0020270B">
        <w:rPr>
          <w:rFonts w:eastAsia="Times New Roman" w:cs="Royal Arabic" w:hint="cs"/>
          <w:sz w:val="34"/>
          <w:szCs w:val="34"/>
          <w:rtl/>
        </w:rPr>
        <w:t>تظلم</w:t>
      </w:r>
      <w:r>
        <w:rPr>
          <w:rFonts w:eastAsia="Times New Roman" w:cs="Royal Arabic" w:hint="cs"/>
          <w:sz w:val="34"/>
          <w:szCs w:val="34"/>
          <w:rtl/>
        </w:rPr>
        <w:t xml:space="preserve"> المدعي</w:t>
      </w:r>
      <w:r w:rsidR="00645320">
        <w:rPr>
          <w:rFonts w:eastAsia="Times New Roman" w:cs="Royal Arabic" w:hint="cs"/>
          <w:sz w:val="34"/>
          <w:szCs w:val="34"/>
          <w:rtl/>
        </w:rPr>
        <w:t>ة</w:t>
      </w:r>
      <w:r w:rsidRPr="0020270B">
        <w:rPr>
          <w:rFonts w:eastAsia="Times New Roman" w:cs="Royal Arabic" w:hint="cs"/>
          <w:sz w:val="34"/>
          <w:szCs w:val="34"/>
          <w:rtl/>
        </w:rPr>
        <w:t xml:space="preserve"> من القرار الإداري الصادر</w:t>
      </w:r>
      <w:r>
        <w:rPr>
          <w:rFonts w:eastAsia="Times New Roman" w:cs="Royal Arabic" w:hint="cs"/>
          <w:sz w:val="34"/>
          <w:szCs w:val="34"/>
          <w:rtl/>
        </w:rPr>
        <w:t xml:space="preserve"> عن رئيس لجنة فحص العروض</w:t>
      </w:r>
      <w:r w:rsidRPr="0020270B">
        <w:rPr>
          <w:rFonts w:eastAsia="Times New Roman" w:cs="Royal Arabic" w:hint="cs"/>
          <w:sz w:val="34"/>
          <w:szCs w:val="34"/>
          <w:rtl/>
        </w:rPr>
        <w:t xml:space="preserve"> </w:t>
      </w:r>
      <w:r>
        <w:rPr>
          <w:rFonts w:eastAsia="Times New Roman" w:cs="Royal Arabic" w:hint="cs"/>
          <w:sz w:val="34"/>
          <w:szCs w:val="34"/>
          <w:rtl/>
        </w:rPr>
        <w:t>ب</w:t>
      </w:r>
      <w:r w:rsidRPr="0020270B">
        <w:rPr>
          <w:rFonts w:eastAsia="Times New Roman" w:cs="Royal Arabic" w:hint="cs"/>
          <w:sz w:val="34"/>
          <w:szCs w:val="34"/>
          <w:rtl/>
        </w:rPr>
        <w:t>ديوان المظالم رقم (</w:t>
      </w:r>
      <w:r w:rsidR="00645320">
        <w:rPr>
          <w:rFonts w:eastAsia="Times New Roman" w:cs="Royal Arabic" w:hint="cs"/>
          <w:sz w:val="34"/>
          <w:szCs w:val="34"/>
          <w:rtl/>
        </w:rPr>
        <w:t>56086</w:t>
      </w:r>
      <w:r w:rsidRPr="0020270B">
        <w:rPr>
          <w:rFonts w:eastAsia="Times New Roman" w:cs="Royal Arabic" w:hint="cs"/>
          <w:sz w:val="34"/>
          <w:szCs w:val="34"/>
          <w:rtl/>
        </w:rPr>
        <w:t xml:space="preserve">) وتاريخ </w:t>
      </w:r>
      <w:r w:rsidR="00645320">
        <w:rPr>
          <w:rFonts w:eastAsia="Times New Roman" w:cs="Royal Arabic" w:hint="cs"/>
          <w:sz w:val="34"/>
          <w:szCs w:val="34"/>
          <w:rtl/>
        </w:rPr>
        <w:t>3</w:t>
      </w:r>
      <w:r w:rsidRPr="0020270B">
        <w:rPr>
          <w:rFonts w:eastAsia="Times New Roman" w:cs="Royal Arabic" w:hint="cs"/>
          <w:sz w:val="34"/>
          <w:szCs w:val="34"/>
          <w:rtl/>
        </w:rPr>
        <w:t>/7/1445هـ</w:t>
      </w:r>
      <w:r>
        <w:rPr>
          <w:rFonts w:eastAsia="Times New Roman" w:cs="Royal Arabic" w:hint="cs"/>
          <w:sz w:val="34"/>
          <w:szCs w:val="34"/>
          <w:rtl/>
        </w:rPr>
        <w:t>،</w:t>
      </w:r>
      <w:r w:rsidRPr="008C51B2">
        <w:rPr>
          <w:rFonts w:eastAsia="Times New Roman" w:cs="Royal Arabic" w:hint="cs"/>
          <w:sz w:val="34"/>
          <w:szCs w:val="34"/>
          <w:rtl/>
        </w:rPr>
        <w:t xml:space="preserve"> </w:t>
      </w:r>
      <w:r>
        <w:rPr>
          <w:rFonts w:eastAsia="Times New Roman" w:cs="Royal Arabic" w:hint="cs"/>
          <w:sz w:val="34"/>
          <w:szCs w:val="34"/>
          <w:rtl/>
        </w:rPr>
        <w:t xml:space="preserve">وقد </w:t>
      </w:r>
      <w:r w:rsidR="001938D0" w:rsidRPr="008C51B2">
        <w:rPr>
          <w:rFonts w:eastAsia="Times New Roman" w:cs="Royal Arabic" w:hint="cs"/>
          <w:sz w:val="34"/>
          <w:szCs w:val="34"/>
          <w:rtl/>
        </w:rPr>
        <w:t>انتهى الحكم إلى</w:t>
      </w:r>
      <w:r>
        <w:rPr>
          <w:rFonts w:eastAsia="Times New Roman" w:cs="Royal Arabic" w:hint="cs"/>
          <w:sz w:val="34"/>
          <w:szCs w:val="34"/>
          <w:rtl/>
        </w:rPr>
        <w:t xml:space="preserve"> إلغاء القرار.</w:t>
      </w:r>
    </w:p>
    <w:p w14:paraId="42F7F6FB" w14:textId="1E6579EF" w:rsidR="0020270B" w:rsidRDefault="00BB65FE" w:rsidP="00260CE6">
      <w:pPr>
        <w:spacing w:after="0" w:line="240" w:lineRule="auto"/>
        <w:jc w:val="both"/>
        <w:rPr>
          <w:rFonts w:eastAsia="Times New Roman" w:cs="Royal Arabic"/>
          <w:sz w:val="34"/>
          <w:szCs w:val="34"/>
          <w:rtl/>
        </w:rPr>
      </w:pPr>
      <w:r>
        <w:rPr>
          <w:rFonts w:eastAsia="Times New Roman" w:cs="Royal Arabic" w:hint="cs"/>
          <w:sz w:val="34"/>
          <w:szCs w:val="34"/>
          <w:rtl/>
        </w:rPr>
        <w:t>أوجه الطعن في الحكم:</w:t>
      </w:r>
    </w:p>
    <w:p w14:paraId="0168CF2F" w14:textId="77777777" w:rsidR="00267B59" w:rsidRDefault="00BB65FE" w:rsidP="00267B59">
      <w:pPr>
        <w:spacing w:after="0" w:line="240" w:lineRule="auto"/>
        <w:jc w:val="both"/>
        <w:rPr>
          <w:rFonts w:eastAsia="Times New Roman" w:cs="Royal Arabic"/>
          <w:sz w:val="34"/>
          <w:szCs w:val="34"/>
          <w:rtl/>
        </w:rPr>
      </w:pPr>
      <w:r w:rsidRPr="00277F18">
        <w:rPr>
          <w:rFonts w:eastAsia="Times New Roman" w:cs="Royal Arabic" w:hint="cs"/>
          <w:b/>
          <w:bCs/>
          <w:sz w:val="34"/>
          <w:szCs w:val="34"/>
          <w:rtl/>
        </w:rPr>
        <w:t>أولاً/</w:t>
      </w:r>
      <w:r>
        <w:rPr>
          <w:rFonts w:eastAsia="Times New Roman" w:cs="Royal Arabic" w:hint="cs"/>
          <w:sz w:val="34"/>
          <w:szCs w:val="34"/>
          <w:rtl/>
        </w:rPr>
        <w:t xml:space="preserve"> من حيث التكييف؛ حيث قرر الحكم تكييف القرار الطعين بأنه من القرارات المتصلة بالعقود، وانتهى إلى شمول الدعوى بالفقرة (13/د) من نظام ديوان المظالم</w:t>
      </w:r>
      <w:r w:rsidR="00260CE6">
        <w:rPr>
          <w:rFonts w:eastAsia="Times New Roman" w:cs="Royal Arabic" w:hint="cs"/>
          <w:sz w:val="34"/>
          <w:szCs w:val="34"/>
          <w:rtl/>
        </w:rPr>
        <w:t>.</w:t>
      </w:r>
    </w:p>
    <w:p w14:paraId="41EEE700" w14:textId="3D7536C1" w:rsidR="00BB65FE" w:rsidRDefault="00267B59" w:rsidP="00ED6895">
      <w:pPr>
        <w:spacing w:line="240" w:lineRule="auto"/>
        <w:jc w:val="both"/>
        <w:rPr>
          <w:rFonts w:eastAsia="Times New Roman" w:cs="Royal Arabic"/>
          <w:sz w:val="34"/>
          <w:szCs w:val="34"/>
          <w:rtl/>
        </w:rPr>
      </w:pPr>
      <w:r>
        <w:rPr>
          <w:rFonts w:eastAsia="Times New Roman" w:cs="Royal Arabic" w:hint="cs"/>
          <w:sz w:val="34"/>
          <w:szCs w:val="34"/>
          <w:rtl/>
        </w:rPr>
        <w:t>جوابه:</w:t>
      </w:r>
      <w:r w:rsidR="00BB65FE">
        <w:rPr>
          <w:rFonts w:eastAsia="Times New Roman" w:cs="Royal Arabic" w:hint="cs"/>
          <w:sz w:val="34"/>
          <w:szCs w:val="34"/>
          <w:rtl/>
        </w:rPr>
        <w:t xml:space="preserve"> أن الرابطة العقدية لم تنعقد</w:t>
      </w:r>
      <w:r>
        <w:rPr>
          <w:rFonts w:eastAsia="Times New Roman" w:cs="Royal Arabic" w:hint="cs"/>
          <w:sz w:val="34"/>
          <w:szCs w:val="34"/>
          <w:rtl/>
        </w:rPr>
        <w:t>؛ فلم</w:t>
      </w:r>
      <w:r w:rsidR="00BB65FE">
        <w:rPr>
          <w:rFonts w:eastAsia="Times New Roman" w:cs="Royal Arabic" w:hint="cs"/>
          <w:sz w:val="34"/>
          <w:szCs w:val="34"/>
          <w:rtl/>
        </w:rPr>
        <w:t xml:space="preserve"> </w:t>
      </w:r>
      <w:r>
        <w:rPr>
          <w:rFonts w:eastAsia="Times New Roman" w:cs="Royal Arabic" w:hint="cs"/>
          <w:sz w:val="34"/>
          <w:szCs w:val="34"/>
          <w:rtl/>
        </w:rPr>
        <w:t>ي</w:t>
      </w:r>
      <w:r w:rsidR="00BB65FE">
        <w:rPr>
          <w:rFonts w:eastAsia="Times New Roman" w:cs="Royal Arabic" w:hint="cs"/>
          <w:sz w:val="34"/>
          <w:szCs w:val="34"/>
          <w:rtl/>
        </w:rPr>
        <w:t>تحقق الإيجاب والقبول</w:t>
      </w:r>
      <w:r w:rsidR="00260CE6">
        <w:rPr>
          <w:rFonts w:eastAsia="Times New Roman" w:cs="Royal Arabic" w:hint="cs"/>
          <w:sz w:val="34"/>
          <w:szCs w:val="34"/>
          <w:rtl/>
        </w:rPr>
        <w:t>،</w:t>
      </w:r>
      <w:r w:rsidR="00F21417">
        <w:rPr>
          <w:rFonts w:eastAsia="Times New Roman" w:cs="Royal Arabic" w:hint="cs"/>
          <w:sz w:val="34"/>
          <w:szCs w:val="34"/>
          <w:rtl/>
        </w:rPr>
        <w:t xml:space="preserve"> والقرار الطعين يعد من القرارات الإدارية السابقة للعقد </w:t>
      </w:r>
      <w:r w:rsidR="00ED6895">
        <w:rPr>
          <w:rFonts w:eastAsia="Times New Roman" w:cs="Royal Arabic" w:hint="cs"/>
          <w:sz w:val="34"/>
          <w:szCs w:val="34"/>
          <w:rtl/>
        </w:rPr>
        <w:t>والمنفصلة عنه</w:t>
      </w:r>
      <w:r w:rsidR="00BB65FE">
        <w:rPr>
          <w:rFonts w:eastAsia="Times New Roman" w:cs="Royal Arabic" w:hint="cs"/>
          <w:sz w:val="34"/>
          <w:szCs w:val="34"/>
          <w:rtl/>
        </w:rPr>
        <w:t xml:space="preserve">، </w:t>
      </w:r>
      <w:r w:rsidR="00F21417">
        <w:rPr>
          <w:rFonts w:eastAsia="Times New Roman" w:cs="Royal Arabic" w:hint="cs"/>
          <w:sz w:val="34"/>
          <w:szCs w:val="34"/>
          <w:rtl/>
        </w:rPr>
        <w:t>ف</w:t>
      </w:r>
      <w:r w:rsidR="00BB65FE">
        <w:rPr>
          <w:rFonts w:eastAsia="Times New Roman" w:cs="Royal Arabic" w:hint="cs"/>
          <w:sz w:val="34"/>
          <w:szCs w:val="34"/>
          <w:rtl/>
        </w:rPr>
        <w:t xml:space="preserve">لم يتم </w:t>
      </w:r>
      <w:proofErr w:type="spellStart"/>
      <w:r w:rsidR="00BB65FE">
        <w:rPr>
          <w:rFonts w:eastAsia="Times New Roman" w:cs="Royal Arabic" w:hint="cs"/>
          <w:sz w:val="34"/>
          <w:szCs w:val="34"/>
          <w:rtl/>
        </w:rPr>
        <w:t>الترسية</w:t>
      </w:r>
      <w:proofErr w:type="spellEnd"/>
      <w:r w:rsidR="00BB65FE">
        <w:rPr>
          <w:rFonts w:eastAsia="Times New Roman" w:cs="Royal Arabic" w:hint="cs"/>
          <w:sz w:val="34"/>
          <w:szCs w:val="34"/>
          <w:rtl/>
        </w:rPr>
        <w:t xml:space="preserve"> على المدعي</w:t>
      </w:r>
      <w:r w:rsidR="00645320">
        <w:rPr>
          <w:rFonts w:eastAsia="Times New Roman" w:cs="Royal Arabic" w:hint="cs"/>
          <w:sz w:val="34"/>
          <w:szCs w:val="34"/>
          <w:rtl/>
        </w:rPr>
        <w:t>ة</w:t>
      </w:r>
      <w:r w:rsidR="00F21417">
        <w:rPr>
          <w:rFonts w:eastAsia="Times New Roman" w:cs="Royal Arabic" w:hint="cs"/>
          <w:sz w:val="34"/>
          <w:szCs w:val="34"/>
          <w:rtl/>
        </w:rPr>
        <w:t>، فضلاً عن أن يتم توقيع العقد معه</w:t>
      </w:r>
      <w:r w:rsidR="00645320">
        <w:rPr>
          <w:rFonts w:eastAsia="Times New Roman" w:cs="Royal Arabic" w:hint="cs"/>
          <w:sz w:val="34"/>
          <w:szCs w:val="34"/>
          <w:rtl/>
        </w:rPr>
        <w:t>ا</w:t>
      </w:r>
      <w:r w:rsidR="00F21417">
        <w:rPr>
          <w:rFonts w:eastAsia="Times New Roman" w:cs="Royal Arabic" w:hint="cs"/>
          <w:sz w:val="34"/>
          <w:szCs w:val="34"/>
          <w:rtl/>
        </w:rPr>
        <w:t>.</w:t>
      </w:r>
      <w:r w:rsidR="0089470A">
        <w:rPr>
          <w:rFonts w:eastAsia="Times New Roman" w:cs="Royal Arabic" w:hint="cs"/>
          <w:sz w:val="34"/>
          <w:szCs w:val="34"/>
          <w:rtl/>
        </w:rPr>
        <w:t xml:space="preserve"> وهذا الخطأ في التكييف ترتب عليه تقرير الحكم قبول الدعوى على أساس غير صحيح.</w:t>
      </w:r>
    </w:p>
    <w:p w14:paraId="3F80A1D9" w14:textId="7D6B39D6" w:rsidR="00267B59" w:rsidRDefault="00F21417" w:rsidP="00ED6895">
      <w:pPr>
        <w:spacing w:after="0" w:line="240" w:lineRule="auto"/>
        <w:jc w:val="both"/>
        <w:rPr>
          <w:rFonts w:eastAsia="Times New Roman" w:cs="Royal Arabic"/>
          <w:sz w:val="34"/>
          <w:szCs w:val="34"/>
          <w:rtl/>
        </w:rPr>
      </w:pPr>
      <w:r w:rsidRPr="00277F18">
        <w:rPr>
          <w:rFonts w:eastAsia="Times New Roman" w:cs="Royal Arabic" w:hint="cs"/>
          <w:b/>
          <w:bCs/>
          <w:sz w:val="34"/>
          <w:szCs w:val="34"/>
          <w:rtl/>
        </w:rPr>
        <w:t>ثانياً/</w:t>
      </w:r>
      <w:r>
        <w:rPr>
          <w:rFonts w:eastAsia="Times New Roman" w:cs="Royal Arabic" w:hint="cs"/>
          <w:sz w:val="34"/>
          <w:szCs w:val="34"/>
          <w:rtl/>
        </w:rPr>
        <w:t xml:space="preserve"> </w:t>
      </w:r>
      <w:r w:rsidR="008F4627">
        <w:rPr>
          <w:rFonts w:eastAsia="Times New Roman" w:cs="Royal Arabic" w:hint="cs"/>
          <w:sz w:val="34"/>
          <w:szCs w:val="34"/>
          <w:rtl/>
        </w:rPr>
        <w:t xml:space="preserve">تقرير الحكم </w:t>
      </w:r>
      <w:r w:rsidR="00267B59">
        <w:rPr>
          <w:rFonts w:eastAsia="Times New Roman" w:cs="Royal Arabic" w:hint="cs"/>
          <w:sz w:val="34"/>
          <w:szCs w:val="34"/>
          <w:rtl/>
        </w:rPr>
        <w:t>أن</w:t>
      </w:r>
      <w:r w:rsidR="008F4627">
        <w:rPr>
          <w:rFonts w:eastAsia="Times New Roman" w:cs="Royal Arabic" w:hint="cs"/>
          <w:sz w:val="34"/>
          <w:szCs w:val="34"/>
          <w:rtl/>
        </w:rPr>
        <w:t xml:space="preserve"> </w:t>
      </w:r>
      <w:r w:rsidR="00277F18">
        <w:rPr>
          <w:rFonts w:eastAsia="Times New Roman" w:cs="Royal Arabic" w:hint="cs"/>
          <w:sz w:val="34"/>
          <w:szCs w:val="34"/>
          <w:rtl/>
        </w:rPr>
        <w:t>القرار محل الدعوى</w:t>
      </w:r>
      <w:r w:rsidR="00267B59">
        <w:rPr>
          <w:rFonts w:eastAsia="Times New Roman" w:cs="Royal Arabic" w:hint="cs"/>
          <w:sz w:val="34"/>
          <w:szCs w:val="34"/>
          <w:rtl/>
        </w:rPr>
        <w:t xml:space="preserve"> لا تشمله</w:t>
      </w:r>
      <w:r w:rsidR="00277F18">
        <w:rPr>
          <w:rFonts w:eastAsia="Times New Roman" w:cs="Royal Arabic" w:hint="cs"/>
          <w:sz w:val="34"/>
          <w:szCs w:val="34"/>
          <w:rtl/>
        </w:rPr>
        <w:t xml:space="preserve"> الأحوال المنصوصة في المادة (86) من نظام المنافسات والمشتريات الحكومية</w:t>
      </w:r>
      <w:r w:rsidR="00267B59">
        <w:rPr>
          <w:rFonts w:eastAsia="Times New Roman" w:cs="Royal Arabic" w:hint="cs"/>
          <w:sz w:val="34"/>
          <w:szCs w:val="34"/>
          <w:rtl/>
        </w:rPr>
        <w:t>.</w:t>
      </w:r>
    </w:p>
    <w:p w14:paraId="4ACD970F" w14:textId="473356E7" w:rsidR="000D662A" w:rsidRDefault="00267B59" w:rsidP="000D662A">
      <w:pPr>
        <w:spacing w:line="240" w:lineRule="auto"/>
        <w:jc w:val="both"/>
        <w:rPr>
          <w:rFonts w:eastAsia="Times New Roman" w:cs="Royal Arabic"/>
          <w:sz w:val="34"/>
          <w:szCs w:val="34"/>
          <w:rtl/>
        </w:rPr>
      </w:pPr>
      <w:r>
        <w:rPr>
          <w:rFonts w:eastAsia="Times New Roman" w:cs="Royal Arabic" w:hint="cs"/>
          <w:sz w:val="34"/>
          <w:szCs w:val="34"/>
          <w:rtl/>
        </w:rPr>
        <w:t>جوابه: أن</w:t>
      </w:r>
      <w:r w:rsidR="00277F18">
        <w:rPr>
          <w:rFonts w:eastAsia="Times New Roman" w:cs="Royal Arabic" w:hint="cs"/>
          <w:sz w:val="34"/>
          <w:szCs w:val="34"/>
          <w:rtl/>
        </w:rPr>
        <w:t xml:space="preserve"> من تلك الأحوال ما ورد في الفقرة (أ) باختصاص اللجنة (بالنظر في تظلمات المتنافسين من قرار الترسية أو من أي قرار أو إجراء تتخذه الجهة الحكومية قبل قرار الترسية)، وهذه الفقرة تصدق على القرار محل الدعوى، فهو قرار صادر بالنسبة للمدعي</w:t>
      </w:r>
      <w:r w:rsidR="00897689">
        <w:rPr>
          <w:rFonts w:eastAsia="Times New Roman" w:cs="Royal Arabic" w:hint="cs"/>
          <w:sz w:val="34"/>
          <w:szCs w:val="34"/>
          <w:rtl/>
        </w:rPr>
        <w:t>ة</w:t>
      </w:r>
      <w:r w:rsidR="00277F18">
        <w:rPr>
          <w:rFonts w:eastAsia="Times New Roman" w:cs="Royal Arabic" w:hint="cs"/>
          <w:sz w:val="34"/>
          <w:szCs w:val="34"/>
          <w:rtl/>
        </w:rPr>
        <w:t xml:space="preserve"> بوصفه</w:t>
      </w:r>
      <w:r w:rsidR="00897689">
        <w:rPr>
          <w:rFonts w:eastAsia="Times New Roman" w:cs="Royal Arabic" w:hint="cs"/>
          <w:sz w:val="34"/>
          <w:szCs w:val="34"/>
          <w:rtl/>
        </w:rPr>
        <w:t>ا</w:t>
      </w:r>
      <w:r w:rsidR="00277F18">
        <w:rPr>
          <w:rFonts w:eastAsia="Times New Roman" w:cs="Royal Arabic" w:hint="cs"/>
          <w:sz w:val="34"/>
          <w:szCs w:val="34"/>
          <w:rtl/>
        </w:rPr>
        <w:t xml:space="preserve"> متنافساً لا متعاقداً معه</w:t>
      </w:r>
      <w:r w:rsidR="00897689">
        <w:rPr>
          <w:rFonts w:eastAsia="Times New Roman" w:cs="Royal Arabic" w:hint="cs"/>
          <w:sz w:val="34"/>
          <w:szCs w:val="34"/>
          <w:rtl/>
        </w:rPr>
        <w:t>ا</w:t>
      </w:r>
      <w:r w:rsidR="00277F18">
        <w:rPr>
          <w:rFonts w:eastAsia="Times New Roman" w:cs="Royal Arabic" w:hint="cs"/>
          <w:sz w:val="34"/>
          <w:szCs w:val="34"/>
          <w:rtl/>
        </w:rPr>
        <w:t xml:space="preserve">، وفي محل سابق لمحل قرار </w:t>
      </w:r>
      <w:proofErr w:type="spellStart"/>
      <w:r w:rsidR="00277F18">
        <w:rPr>
          <w:rFonts w:eastAsia="Times New Roman" w:cs="Royal Arabic" w:hint="cs"/>
          <w:sz w:val="34"/>
          <w:szCs w:val="34"/>
          <w:rtl/>
        </w:rPr>
        <w:t>الترسية</w:t>
      </w:r>
      <w:proofErr w:type="spellEnd"/>
      <w:r w:rsidR="00897689">
        <w:rPr>
          <w:rFonts w:eastAsia="Times New Roman" w:cs="Royal Arabic" w:hint="cs"/>
          <w:sz w:val="34"/>
          <w:szCs w:val="34"/>
          <w:rtl/>
        </w:rPr>
        <w:t xml:space="preserve"> بالنسبة للمدعية، وقد قضت بذلك محكمة الاستئناف الإدارية بمنطقة الرياض في واقعة مشابهة وفق الحكم </w:t>
      </w:r>
      <w:r w:rsidR="000D662A">
        <w:rPr>
          <w:rFonts w:eastAsia="Times New Roman" w:cs="Royal Arabic" w:hint="cs"/>
          <w:sz w:val="34"/>
          <w:szCs w:val="34"/>
          <w:rtl/>
        </w:rPr>
        <w:t>-</w:t>
      </w:r>
      <w:r w:rsidR="00897689">
        <w:rPr>
          <w:rFonts w:eastAsia="Times New Roman" w:cs="Royal Arabic" w:hint="cs"/>
          <w:sz w:val="34"/>
          <w:szCs w:val="34"/>
          <w:rtl/>
        </w:rPr>
        <w:t>المرفق</w:t>
      </w:r>
      <w:r w:rsidR="000D662A">
        <w:rPr>
          <w:rFonts w:eastAsia="Times New Roman" w:cs="Royal Arabic" w:hint="cs"/>
          <w:sz w:val="34"/>
          <w:szCs w:val="34"/>
          <w:rtl/>
        </w:rPr>
        <w:t>- الصادر بتاريخ 25/5/1446هـ في الاستئناف رقم (5124) لعام 1446هـ عن الدائرة الرقمية التاسعة والعشرون ب</w:t>
      </w:r>
      <w:r w:rsidR="000D662A">
        <w:rPr>
          <w:rFonts w:eastAsia="Times New Roman" w:cs="Royal Arabic" w:hint="cs"/>
          <w:sz w:val="34"/>
          <w:szCs w:val="34"/>
          <w:rtl/>
        </w:rPr>
        <w:t>محكمة الاستئناف الإدارية بمنطقة الرياض</w:t>
      </w:r>
      <w:r w:rsidR="000D662A">
        <w:rPr>
          <w:rFonts w:eastAsia="Times New Roman" w:cs="Royal Arabic" w:hint="cs"/>
          <w:sz w:val="34"/>
          <w:szCs w:val="34"/>
          <w:rtl/>
        </w:rPr>
        <w:t>.</w:t>
      </w:r>
    </w:p>
    <w:p w14:paraId="4C24C034" w14:textId="77777777" w:rsidR="00897689" w:rsidRDefault="00277F18" w:rsidP="00897689">
      <w:pPr>
        <w:spacing w:after="0" w:line="240" w:lineRule="auto"/>
        <w:jc w:val="both"/>
        <w:rPr>
          <w:rFonts w:eastAsia="Times New Roman" w:cs="Royal Arabic"/>
          <w:sz w:val="34"/>
          <w:szCs w:val="34"/>
          <w:rtl/>
        </w:rPr>
      </w:pPr>
      <w:r w:rsidRPr="00897689">
        <w:rPr>
          <w:rFonts w:eastAsia="Times New Roman" w:cs="Royal Arabic" w:hint="cs"/>
          <w:b/>
          <w:bCs/>
          <w:sz w:val="34"/>
          <w:szCs w:val="34"/>
          <w:rtl/>
        </w:rPr>
        <w:lastRenderedPageBreak/>
        <w:t>ثالثاً/</w:t>
      </w:r>
      <w:r w:rsidR="00897689" w:rsidRPr="00897689">
        <w:rPr>
          <w:rFonts w:eastAsia="Times New Roman" w:cs="Royal Arabic" w:hint="cs"/>
          <w:sz w:val="34"/>
          <w:szCs w:val="34"/>
          <w:rtl/>
        </w:rPr>
        <w:t xml:space="preserve"> </w:t>
      </w:r>
      <w:r w:rsidR="00897689">
        <w:rPr>
          <w:rFonts w:eastAsia="Times New Roman" w:cs="Royal Arabic" w:hint="cs"/>
          <w:sz w:val="34"/>
          <w:szCs w:val="34"/>
          <w:rtl/>
        </w:rPr>
        <w:t>تقرير الحكم أن القرار محل الدعوى صدر ممن لا يملك سلطة إصداره تأسيساً على أن إصدار القرار من اختصاص اللجنة المقرة بالمادة (88) من نظام المنافسات والمشتريات الحكومية التي من اختصاصها: (</w:t>
      </w:r>
      <w:r w:rsidR="00897689" w:rsidRPr="00D00495">
        <w:rPr>
          <w:rFonts w:eastAsia="Times New Roman" w:cs="Royal Arabic"/>
          <w:sz w:val="34"/>
          <w:szCs w:val="34"/>
          <w:rtl/>
        </w:rPr>
        <w:t>النظر في مخالفات المتنافسين والمتعاقد معهم لأحكام النظام</w:t>
      </w:r>
      <w:r w:rsidR="00897689">
        <w:rPr>
          <w:rFonts w:eastAsia="Times New Roman" w:cs="Royal Arabic" w:hint="cs"/>
          <w:sz w:val="34"/>
          <w:szCs w:val="34"/>
          <w:rtl/>
        </w:rPr>
        <w:t>).</w:t>
      </w:r>
    </w:p>
    <w:p w14:paraId="3A190566" w14:textId="7434B0CC" w:rsidR="00897689" w:rsidRDefault="00897689" w:rsidP="00ED6895">
      <w:pPr>
        <w:spacing w:after="0" w:line="240" w:lineRule="auto"/>
        <w:jc w:val="both"/>
        <w:rPr>
          <w:rFonts w:eastAsia="Times New Roman" w:cs="Royal Arabic"/>
          <w:sz w:val="34"/>
          <w:szCs w:val="34"/>
          <w:highlight w:val="yellow"/>
          <w:rtl/>
        </w:rPr>
      </w:pPr>
      <w:r>
        <w:rPr>
          <w:rFonts w:eastAsia="Times New Roman" w:cs="Royal Arabic" w:hint="cs"/>
          <w:sz w:val="34"/>
          <w:szCs w:val="34"/>
          <w:rtl/>
        </w:rPr>
        <w:t>جوابه: أن المادة (61/2) من نظام المنافسات والمشتريات الحكومية، تنص على أنه: (</w:t>
      </w:r>
      <w:r w:rsidRPr="00E25AFF">
        <w:rPr>
          <w:rFonts w:eastAsia="Times New Roman" w:cs="Royal Arabic"/>
          <w:sz w:val="34"/>
          <w:szCs w:val="34"/>
          <w:rtl/>
        </w:rPr>
        <w:t xml:space="preserve">يلتزم صاحب العرض -إذا كان من المنشآت الصغيرة والمتوسطة المحلية- بدفع غرامة مالية إلى الجهة الحكومية تساوي قيمة الضمان الابتدائي، وذلك إذا قام بسحب عرضه قبل انتهاء مدة سريان العروض، أو إذا لم يقدم الضمان النهائي في حال تمت </w:t>
      </w:r>
      <w:proofErr w:type="spellStart"/>
      <w:r w:rsidRPr="00E25AFF">
        <w:rPr>
          <w:rFonts w:eastAsia="Times New Roman" w:cs="Royal Arabic"/>
          <w:sz w:val="34"/>
          <w:szCs w:val="34"/>
          <w:rtl/>
        </w:rPr>
        <w:t>الترسية</w:t>
      </w:r>
      <w:proofErr w:type="spellEnd"/>
      <w:r w:rsidRPr="00E25AFF">
        <w:rPr>
          <w:rFonts w:eastAsia="Times New Roman" w:cs="Royal Arabic"/>
          <w:sz w:val="34"/>
          <w:szCs w:val="34"/>
          <w:rtl/>
        </w:rPr>
        <w:t xml:space="preserve"> عليه. وفي حال مرور (ستين) يوماً من تاريخ سحب عرضه، أو من تاريخ انتهاء مهلة تقديم الضمان النهائي دون أن يقوم بدفع الغرامة المالية المقررة؛ يعاقب بمنعه من التعامل مع الجهات الحكومية لمدة سنة</w:t>
      </w:r>
      <w:r>
        <w:rPr>
          <w:rFonts w:eastAsia="Times New Roman" w:cs="Royal Arabic" w:hint="cs"/>
          <w:sz w:val="34"/>
          <w:szCs w:val="34"/>
          <w:rtl/>
        </w:rPr>
        <w:t>)؛ وعليه فإن منشأ الغرامة الموقعة على المدعي</w:t>
      </w:r>
      <w:r w:rsidR="00ED6895">
        <w:rPr>
          <w:rFonts w:eastAsia="Times New Roman" w:cs="Royal Arabic" w:hint="cs"/>
          <w:sz w:val="34"/>
          <w:szCs w:val="34"/>
          <w:rtl/>
        </w:rPr>
        <w:t>ة هو التزام ي</w:t>
      </w:r>
      <w:r>
        <w:rPr>
          <w:rFonts w:eastAsia="Times New Roman" w:cs="Royal Arabic" w:hint="cs"/>
          <w:sz w:val="34"/>
          <w:szCs w:val="34"/>
          <w:rtl/>
        </w:rPr>
        <w:t xml:space="preserve">لتزمه ابتداءً بموجب النظام جميع المتنافسين أصحاب العروض من </w:t>
      </w:r>
      <w:r w:rsidRPr="00724F39">
        <w:rPr>
          <w:rFonts w:eastAsia="Times New Roman" w:cs="Royal Arabic"/>
          <w:sz w:val="34"/>
          <w:szCs w:val="34"/>
          <w:rtl/>
        </w:rPr>
        <w:t>المنشآت الصغيرة والمتوسطة المحلية</w:t>
      </w:r>
      <w:r>
        <w:rPr>
          <w:rFonts w:eastAsia="Times New Roman" w:cs="Royal Arabic" w:hint="cs"/>
          <w:sz w:val="34"/>
          <w:szCs w:val="34"/>
          <w:rtl/>
        </w:rPr>
        <w:t xml:space="preserve"> في حالة سحب أحد منهم العرض </w:t>
      </w:r>
      <w:r w:rsidRPr="00724F39">
        <w:rPr>
          <w:rFonts w:eastAsia="Times New Roman" w:cs="Royal Arabic"/>
          <w:sz w:val="34"/>
          <w:szCs w:val="34"/>
          <w:rtl/>
        </w:rPr>
        <w:t>قبل انتهاء مدة سريان العروض</w:t>
      </w:r>
      <w:r>
        <w:rPr>
          <w:rFonts w:eastAsia="Times New Roman" w:cs="Royal Arabic" w:hint="cs"/>
          <w:sz w:val="34"/>
          <w:szCs w:val="34"/>
          <w:rtl/>
        </w:rPr>
        <w:t xml:space="preserve">، وهذا الالتزام يتمثل في دفع المنسحب غرامة </w:t>
      </w:r>
      <w:r w:rsidRPr="00724F39">
        <w:rPr>
          <w:rFonts w:eastAsia="Times New Roman" w:cs="Royal Arabic"/>
          <w:sz w:val="34"/>
          <w:szCs w:val="34"/>
          <w:rtl/>
        </w:rPr>
        <w:t>مالية إلى الجهة الحكومية تساوي قيمة الضمان الابتدائي</w:t>
      </w:r>
      <w:r>
        <w:rPr>
          <w:rFonts w:eastAsia="Times New Roman" w:cs="Royal Arabic" w:hint="cs"/>
          <w:sz w:val="34"/>
          <w:szCs w:val="34"/>
          <w:rtl/>
        </w:rPr>
        <w:t>، وأداة إلزام المتنافس المنسحب هو قرار من الجهة فهي صاحبة السلطة</w:t>
      </w:r>
      <w:r w:rsidR="00ED6895">
        <w:rPr>
          <w:rFonts w:eastAsia="Times New Roman" w:cs="Royal Arabic" w:hint="cs"/>
          <w:sz w:val="34"/>
          <w:szCs w:val="34"/>
          <w:rtl/>
        </w:rPr>
        <w:t xml:space="preserve"> والاختصاص</w:t>
      </w:r>
      <w:r>
        <w:rPr>
          <w:rFonts w:eastAsia="Times New Roman" w:cs="Royal Arabic" w:hint="cs"/>
          <w:sz w:val="34"/>
          <w:szCs w:val="34"/>
          <w:rtl/>
        </w:rPr>
        <w:t xml:space="preserve"> في هذه المرحلة، وفي حال عدم وفائه بالتزامه المتمثل في دفع الغرامة، فحينها يأتي دور اللجنة في المادة (88) بالنظر في هذه المخالفة وهي الامتناع عن الوفاء بالالتزام بدفع الغرامة، وإيقاع العقوبة المقررة نظاماً. وتقدم في المذكرات المقدمة للمحكمة </w:t>
      </w:r>
      <w:r w:rsidR="008568E8">
        <w:rPr>
          <w:rFonts w:eastAsia="Times New Roman" w:cs="Royal Arabic" w:hint="cs"/>
          <w:sz w:val="34"/>
          <w:szCs w:val="34"/>
          <w:rtl/>
        </w:rPr>
        <w:t xml:space="preserve">الإدارية </w:t>
      </w:r>
      <w:r>
        <w:rPr>
          <w:rFonts w:eastAsia="Times New Roman" w:cs="Royal Arabic" w:hint="cs"/>
          <w:sz w:val="34"/>
          <w:szCs w:val="34"/>
          <w:rtl/>
        </w:rPr>
        <w:t>أن عدم تقديم الشهادة خلال المدة المحددة يعتبر دليلاً على عدم الجدية ويعد في حكم سحب العرض ويترتب عليه الجزاء النظامي.</w:t>
      </w:r>
      <w:r w:rsidR="00277F18" w:rsidRPr="00897689">
        <w:rPr>
          <w:rFonts w:eastAsia="Times New Roman" w:cs="Royal Arabic" w:hint="cs"/>
          <w:sz w:val="34"/>
          <w:szCs w:val="34"/>
          <w:highlight w:val="yellow"/>
          <w:rtl/>
        </w:rPr>
        <w:t xml:space="preserve"> </w:t>
      </w:r>
    </w:p>
    <w:p w14:paraId="483342E5" w14:textId="2825889C" w:rsidR="00ED6895" w:rsidRDefault="00ED6895" w:rsidP="00ED6895">
      <w:pPr>
        <w:spacing w:after="0" w:line="240" w:lineRule="auto"/>
        <w:jc w:val="both"/>
        <w:rPr>
          <w:rFonts w:eastAsia="Times New Roman" w:cs="Royal Arabic"/>
          <w:sz w:val="34"/>
          <w:szCs w:val="34"/>
          <w:rtl/>
        </w:rPr>
      </w:pPr>
      <w:r>
        <w:rPr>
          <w:rFonts w:eastAsia="Times New Roman" w:cs="Royal Arabic" w:hint="cs"/>
          <w:b/>
          <w:bCs/>
          <w:sz w:val="34"/>
          <w:szCs w:val="34"/>
          <w:rtl/>
        </w:rPr>
        <w:t>رابعاً</w:t>
      </w:r>
      <w:r w:rsidRPr="005C3596">
        <w:rPr>
          <w:rFonts w:eastAsia="Times New Roman" w:cs="Royal Arabic" w:hint="cs"/>
          <w:b/>
          <w:bCs/>
          <w:sz w:val="34"/>
          <w:szCs w:val="34"/>
          <w:rtl/>
        </w:rPr>
        <w:t>/</w:t>
      </w:r>
      <w:r>
        <w:rPr>
          <w:rFonts w:eastAsia="Times New Roman" w:cs="Royal Arabic" w:hint="cs"/>
          <w:sz w:val="34"/>
          <w:szCs w:val="34"/>
          <w:rtl/>
        </w:rPr>
        <w:t xml:space="preserve"> تقرير الحكم أن المدعية لم تنسحب من المنافسة وإنما استُبعدت منها.</w:t>
      </w:r>
    </w:p>
    <w:p w14:paraId="719A2DF2" w14:textId="7160439C" w:rsidR="00ED6895" w:rsidRDefault="00ED6895" w:rsidP="00ED6895">
      <w:pPr>
        <w:spacing w:line="240" w:lineRule="auto"/>
        <w:jc w:val="both"/>
        <w:rPr>
          <w:rFonts w:eastAsia="Times New Roman" w:cs="Royal Arabic"/>
          <w:sz w:val="34"/>
          <w:szCs w:val="34"/>
          <w:rtl/>
        </w:rPr>
      </w:pPr>
      <w:r>
        <w:rPr>
          <w:rFonts w:eastAsia="Times New Roman" w:cs="Royal Arabic" w:hint="cs"/>
          <w:sz w:val="34"/>
          <w:szCs w:val="34"/>
          <w:rtl/>
        </w:rPr>
        <w:t>جوابه: أنه لا تعارض، فالحقيقة أن المدعية صدر منها ما يُعد في حكم الانسحاب -وفق التفصيل والتوضيح في المذكرة السابق تقديمها للمحكمة الإدارية- وهو عدم تقديم الشهادة المطلوبة خلال المدة المحددة، وبعد حصول ذلك قامت اللجنة باستبعاد المدعية، ولا تعارض بين الوصفين.</w:t>
      </w:r>
    </w:p>
    <w:p w14:paraId="42E18630" w14:textId="511DD0B5" w:rsidR="00ED6895" w:rsidRPr="00230D44" w:rsidRDefault="00ED6895" w:rsidP="00BF524F">
      <w:pPr>
        <w:rPr>
          <w:rFonts w:eastAsia="Times New Roman"/>
          <w:b/>
          <w:bCs/>
        </w:rPr>
      </w:pPr>
      <w:r w:rsidRPr="00230D44">
        <w:rPr>
          <w:rFonts w:eastAsia="Times New Roman" w:cs="Royal Arabic" w:hint="cs"/>
          <w:b/>
          <w:bCs/>
          <w:sz w:val="34"/>
          <w:szCs w:val="34"/>
          <w:rtl/>
        </w:rPr>
        <w:t>ولما تقدم؛ نلتمس القضاء بإلغاء الحكم محل الاعتراض، و</w:t>
      </w:r>
      <w:r w:rsidR="00BF524F">
        <w:rPr>
          <w:rFonts w:eastAsia="Times New Roman" w:cs="Royal Arabic" w:hint="cs"/>
          <w:b/>
          <w:bCs/>
          <w:sz w:val="34"/>
          <w:szCs w:val="34"/>
          <w:rtl/>
        </w:rPr>
        <w:t>عدم قبول الدعوى شكلاً، ورفضها موضوعاً</w:t>
      </w:r>
      <w:r w:rsidRPr="00230D44">
        <w:rPr>
          <w:rFonts w:eastAsia="Times New Roman" w:cs="Royal Arabic" w:hint="cs"/>
          <w:b/>
          <w:bCs/>
          <w:sz w:val="34"/>
          <w:szCs w:val="34"/>
          <w:rtl/>
        </w:rPr>
        <w:t>.</w:t>
      </w:r>
    </w:p>
    <w:p w14:paraId="781BD4BA" w14:textId="49059DCA" w:rsidR="00E25AFF" w:rsidRDefault="008568E8" w:rsidP="008568E8">
      <w:pPr>
        <w:spacing w:line="240" w:lineRule="auto"/>
        <w:jc w:val="right"/>
        <w:rPr>
          <w:rFonts w:eastAsia="Times New Roman" w:cs="Royal Arabic"/>
          <w:sz w:val="34"/>
          <w:szCs w:val="34"/>
          <w:rtl/>
        </w:rPr>
      </w:pPr>
      <w:bookmarkStart w:id="0" w:name="_GoBack"/>
      <w:bookmarkEnd w:id="0"/>
      <w:r>
        <w:rPr>
          <w:rFonts w:eastAsia="Times New Roman" w:cs="Royal Arabic" w:hint="cs"/>
          <w:sz w:val="34"/>
          <w:szCs w:val="34"/>
          <w:rtl/>
        </w:rPr>
        <w:t>ممثل ديوان المظالم</w:t>
      </w:r>
    </w:p>
    <w:p w14:paraId="778331F6" w14:textId="50E75213" w:rsidR="008568E8" w:rsidRDefault="008568E8" w:rsidP="008568E8">
      <w:pPr>
        <w:spacing w:line="240" w:lineRule="auto"/>
        <w:jc w:val="right"/>
        <w:rPr>
          <w:rFonts w:eastAsia="Times New Roman" w:cs="Royal Arabic"/>
          <w:sz w:val="34"/>
          <w:szCs w:val="34"/>
          <w:rtl/>
        </w:rPr>
      </w:pPr>
      <w:r>
        <w:rPr>
          <w:rFonts w:eastAsia="Times New Roman" w:cs="Royal Arabic" w:hint="cs"/>
          <w:sz w:val="34"/>
          <w:szCs w:val="34"/>
          <w:rtl/>
        </w:rPr>
        <w:t>....</w:t>
      </w:r>
    </w:p>
    <w:sectPr w:rsidR="008568E8" w:rsidSect="00EE341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Mohanad">
    <w:panose1 w:val="00000000000000000000"/>
    <w:charset w:val="B2"/>
    <w:family w:val="auto"/>
    <w:pitch w:val="variable"/>
    <w:sig w:usb0="00002001" w:usb1="00000000" w:usb2="00000000" w:usb3="00000000" w:csb0="00000040" w:csb1="00000000"/>
  </w:font>
  <w:font w:name="Royal Arabic">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6D7"/>
    <w:multiLevelType w:val="multilevel"/>
    <w:tmpl w:val="279A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D2E01"/>
    <w:multiLevelType w:val="multilevel"/>
    <w:tmpl w:val="10E6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350"/>
    <w:rsid w:val="0004152D"/>
    <w:rsid w:val="000965DF"/>
    <w:rsid w:val="000C6722"/>
    <w:rsid w:val="000D662A"/>
    <w:rsid w:val="000E1B33"/>
    <w:rsid w:val="000E2332"/>
    <w:rsid w:val="00146043"/>
    <w:rsid w:val="001938D0"/>
    <w:rsid w:val="001C4698"/>
    <w:rsid w:val="001F3AF1"/>
    <w:rsid w:val="0020270B"/>
    <w:rsid w:val="00207716"/>
    <w:rsid w:val="00230D44"/>
    <w:rsid w:val="00260CE6"/>
    <w:rsid w:val="00267B59"/>
    <w:rsid w:val="00277F18"/>
    <w:rsid w:val="002A0330"/>
    <w:rsid w:val="002C6396"/>
    <w:rsid w:val="003B2615"/>
    <w:rsid w:val="00406329"/>
    <w:rsid w:val="00440EE0"/>
    <w:rsid w:val="00460486"/>
    <w:rsid w:val="004A717A"/>
    <w:rsid w:val="004B0FC0"/>
    <w:rsid w:val="00501CD8"/>
    <w:rsid w:val="005C3596"/>
    <w:rsid w:val="005D372D"/>
    <w:rsid w:val="00631498"/>
    <w:rsid w:val="00645320"/>
    <w:rsid w:val="006725BD"/>
    <w:rsid w:val="006909DE"/>
    <w:rsid w:val="006E4696"/>
    <w:rsid w:val="00707472"/>
    <w:rsid w:val="00724F39"/>
    <w:rsid w:val="00792DF6"/>
    <w:rsid w:val="007A1A9C"/>
    <w:rsid w:val="0080093B"/>
    <w:rsid w:val="008568E8"/>
    <w:rsid w:val="00884E71"/>
    <w:rsid w:val="0089470A"/>
    <w:rsid w:val="00897689"/>
    <w:rsid w:val="008C51B2"/>
    <w:rsid w:val="008E5BFB"/>
    <w:rsid w:val="008F4627"/>
    <w:rsid w:val="00931493"/>
    <w:rsid w:val="00962BAC"/>
    <w:rsid w:val="009A4432"/>
    <w:rsid w:val="00A5236A"/>
    <w:rsid w:val="00AD4606"/>
    <w:rsid w:val="00B93E79"/>
    <w:rsid w:val="00BA037C"/>
    <w:rsid w:val="00BB65FE"/>
    <w:rsid w:val="00BF524F"/>
    <w:rsid w:val="00C020DE"/>
    <w:rsid w:val="00C74C07"/>
    <w:rsid w:val="00CB67ED"/>
    <w:rsid w:val="00CD2350"/>
    <w:rsid w:val="00CF21BC"/>
    <w:rsid w:val="00D00495"/>
    <w:rsid w:val="00D1052B"/>
    <w:rsid w:val="00DC7747"/>
    <w:rsid w:val="00E25AFF"/>
    <w:rsid w:val="00EC799C"/>
    <w:rsid w:val="00ED6895"/>
    <w:rsid w:val="00EE341C"/>
    <w:rsid w:val="00F214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D604"/>
  <w15:chartTrackingRefBased/>
  <w15:docId w15:val="{51FB0042-A3AB-431B-B3B0-91F34299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rsid w:val="00501CD8"/>
    <w:pPr>
      <w:spacing w:after="0" w:line="400" w:lineRule="exact"/>
      <w:jc w:val="lowKashida"/>
    </w:pPr>
    <w:rPr>
      <w:rFonts w:ascii="Times New Roman" w:eastAsia="Times New Roman" w:hAnsi="Times New Roman" w:cs="AL-Mohanad"/>
      <w:sz w:val="36"/>
      <w:szCs w:val="36"/>
      <w:lang w:eastAsia="ar-SA"/>
    </w:rPr>
  </w:style>
  <w:style w:type="character" w:customStyle="1" w:styleId="Char">
    <w:name w:val="نص أساسي Char"/>
    <w:basedOn w:val="a0"/>
    <w:link w:val="a3"/>
    <w:rsid w:val="00501CD8"/>
    <w:rPr>
      <w:rFonts w:ascii="Times New Roman" w:eastAsia="Times New Roman" w:hAnsi="Times New Roman" w:cs="AL-Mohanad"/>
      <w:sz w:val="36"/>
      <w:szCs w:val="3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351583">
      <w:bodyDiv w:val="1"/>
      <w:marLeft w:val="0"/>
      <w:marRight w:val="0"/>
      <w:marTop w:val="0"/>
      <w:marBottom w:val="0"/>
      <w:divBdr>
        <w:top w:val="none" w:sz="0" w:space="0" w:color="auto"/>
        <w:left w:val="none" w:sz="0" w:space="0" w:color="auto"/>
        <w:bottom w:val="none" w:sz="0" w:space="0" w:color="auto"/>
        <w:right w:val="none" w:sz="0" w:space="0" w:color="auto"/>
      </w:divBdr>
    </w:div>
    <w:div w:id="188876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526</Words>
  <Characters>3003</Characters>
  <Application>Microsoft Office Word</Application>
  <DocSecurity>0</DocSecurity>
  <Lines>25</Lines>
  <Paragraphs>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عبدالله عبدالرحمن العمر</dc:creator>
  <cp:keywords/>
  <dc:description/>
  <cp:lastModifiedBy>عبدالرحمن عبدالله عبدالرحمن العمر</cp:lastModifiedBy>
  <cp:revision>5</cp:revision>
  <dcterms:created xsi:type="dcterms:W3CDTF">2024-09-26T19:40:00Z</dcterms:created>
  <dcterms:modified xsi:type="dcterms:W3CDTF">2025-01-14T10:47:00Z</dcterms:modified>
</cp:coreProperties>
</file>