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85A1FE" w14:textId="4B10E3EB" w:rsidR="001938D0" w:rsidRPr="000965DF" w:rsidRDefault="001938D0" w:rsidP="00B70E06">
      <w:pPr>
        <w:spacing w:line="240" w:lineRule="auto"/>
        <w:jc w:val="both"/>
        <w:rPr>
          <w:rFonts w:eastAsia="Times New Roman" w:cs="Royal Arabic"/>
          <w:b/>
          <w:bCs/>
          <w:sz w:val="34"/>
          <w:szCs w:val="34"/>
          <w:rtl/>
        </w:rPr>
      </w:pPr>
      <w:r w:rsidRPr="000965DF">
        <w:rPr>
          <w:rFonts w:eastAsia="Times New Roman" w:cs="Royal Arabic" w:hint="cs"/>
          <w:b/>
          <w:bCs/>
          <w:sz w:val="34"/>
          <w:szCs w:val="34"/>
          <w:rtl/>
        </w:rPr>
        <w:t xml:space="preserve">أصحاب الفضيلة رئيس وأعضاء </w:t>
      </w:r>
      <w:r w:rsidR="00B70E06">
        <w:rPr>
          <w:rFonts w:eastAsia="Times New Roman" w:cs="Royal Arabic" w:hint="cs"/>
          <w:b/>
          <w:bCs/>
          <w:sz w:val="34"/>
          <w:szCs w:val="34"/>
          <w:rtl/>
        </w:rPr>
        <w:t>المحكمة الإدارية العليا</w:t>
      </w:r>
      <w:r w:rsidR="000965DF">
        <w:rPr>
          <w:rFonts w:eastAsia="Times New Roman" w:cs="Royal Arabic" w:hint="cs"/>
          <w:b/>
          <w:bCs/>
          <w:sz w:val="34"/>
          <w:szCs w:val="34"/>
          <w:rtl/>
        </w:rPr>
        <w:t xml:space="preserve">     سلمهم الله</w:t>
      </w:r>
    </w:p>
    <w:p w14:paraId="57070DEA" w14:textId="3746C10C" w:rsidR="00B70E06" w:rsidRDefault="00F21417" w:rsidP="00073A65">
      <w:pPr>
        <w:spacing w:after="0" w:line="240" w:lineRule="auto"/>
        <w:jc w:val="both"/>
        <w:rPr>
          <w:rFonts w:eastAsia="Times New Roman" w:cs="Royal Arabic"/>
          <w:sz w:val="34"/>
          <w:szCs w:val="34"/>
          <w:rtl/>
        </w:rPr>
      </w:pPr>
      <w:r>
        <w:rPr>
          <w:rFonts w:eastAsia="Times New Roman" w:cs="Royal Arabic" w:hint="cs"/>
          <w:sz w:val="34"/>
          <w:szCs w:val="34"/>
          <w:rtl/>
        </w:rPr>
        <w:t>بشأن</w:t>
      </w:r>
      <w:r w:rsidR="00B70E06">
        <w:rPr>
          <w:rFonts w:eastAsia="Times New Roman" w:cs="Royal Arabic" w:hint="cs"/>
          <w:sz w:val="34"/>
          <w:szCs w:val="34"/>
          <w:rtl/>
        </w:rPr>
        <w:t xml:space="preserve"> الاعتراض المقدم من/ عامر بن </w:t>
      </w:r>
      <w:proofErr w:type="gramStart"/>
      <w:r w:rsidR="00B70E06">
        <w:rPr>
          <w:rFonts w:eastAsia="Times New Roman" w:cs="Royal Arabic" w:hint="cs"/>
          <w:sz w:val="34"/>
          <w:szCs w:val="34"/>
          <w:rtl/>
        </w:rPr>
        <w:t>عبدالله</w:t>
      </w:r>
      <w:proofErr w:type="gramEnd"/>
      <w:r w:rsidR="00B70E06">
        <w:rPr>
          <w:rFonts w:eastAsia="Times New Roman" w:cs="Royal Arabic" w:hint="cs"/>
          <w:sz w:val="34"/>
          <w:szCs w:val="34"/>
          <w:rtl/>
        </w:rPr>
        <w:t xml:space="preserve"> بن محمد القحطاني </w:t>
      </w:r>
      <w:r w:rsidR="00073A65">
        <w:rPr>
          <w:rFonts w:eastAsia="Times New Roman" w:cs="Royal Arabic" w:hint="cs"/>
          <w:sz w:val="34"/>
          <w:szCs w:val="34"/>
          <w:rtl/>
        </w:rPr>
        <w:t>صاحب مؤسسة سمو المستقبل (سجل تجاري 4030163316)</w:t>
      </w:r>
      <w:r w:rsidR="00B70E06">
        <w:rPr>
          <w:rFonts w:eastAsia="Times New Roman" w:cs="Royal Arabic" w:hint="cs"/>
          <w:sz w:val="34"/>
          <w:szCs w:val="34"/>
          <w:rtl/>
        </w:rPr>
        <w:t xml:space="preserve"> على الحكم في الاستئناف رقم (5124) لعام 1446هـ الصادر في 25/5/1446هـ عن الدائرة الرقمية التاسعة والعشرون بمقر محكمة الاستئناف الإدارية بمنطقة الرياض، الذي يقضي بـ(إلغاء الحكم المستأنَف، والحكم مجدداً بعدم قبول الدعوى).</w:t>
      </w:r>
    </w:p>
    <w:p w14:paraId="1970E07C" w14:textId="34E5D8FF" w:rsidR="00073A65" w:rsidRDefault="00B70E06" w:rsidP="00A62F99">
      <w:pPr>
        <w:spacing w:after="0" w:line="240" w:lineRule="auto"/>
        <w:jc w:val="both"/>
        <w:rPr>
          <w:rFonts w:eastAsia="Times New Roman" w:cs="Royal Arabic"/>
          <w:sz w:val="34"/>
          <w:szCs w:val="34"/>
          <w:rtl/>
        </w:rPr>
      </w:pPr>
      <w:r>
        <w:rPr>
          <w:rFonts w:eastAsia="Times New Roman" w:cs="Royal Arabic" w:hint="cs"/>
          <w:sz w:val="34"/>
          <w:szCs w:val="34"/>
          <w:rtl/>
        </w:rPr>
        <w:t>وحيث يؤسس المعترض اعتراضه على</w:t>
      </w:r>
      <w:r w:rsidR="00A62F99">
        <w:rPr>
          <w:rFonts w:eastAsia="Times New Roman" w:cs="Royal Arabic" w:hint="cs"/>
          <w:sz w:val="34"/>
          <w:szCs w:val="34"/>
          <w:rtl/>
        </w:rPr>
        <w:t xml:space="preserve"> أكثر من سبب للاعتراض وكلها تتلخص في ادعائه</w:t>
      </w:r>
      <w:r>
        <w:rPr>
          <w:rFonts w:eastAsia="Times New Roman" w:cs="Royal Arabic" w:hint="cs"/>
          <w:sz w:val="34"/>
          <w:szCs w:val="34"/>
          <w:rtl/>
        </w:rPr>
        <w:t xml:space="preserve"> عدم شمو</w:t>
      </w:r>
      <w:r w:rsidR="00073A65">
        <w:rPr>
          <w:rFonts w:eastAsia="Times New Roman" w:cs="Royal Arabic" w:hint="cs"/>
          <w:sz w:val="34"/>
          <w:szCs w:val="34"/>
          <w:rtl/>
        </w:rPr>
        <w:t xml:space="preserve">له باختصاص اللجنة المشكلة بموجب المادة (86) من </w:t>
      </w:r>
      <w:r w:rsidR="00277F18">
        <w:rPr>
          <w:rFonts w:eastAsia="Times New Roman" w:cs="Royal Arabic" w:hint="cs"/>
          <w:sz w:val="34"/>
          <w:szCs w:val="34"/>
          <w:rtl/>
        </w:rPr>
        <w:t>نظام المنافسات والمشتريات الحكومية</w:t>
      </w:r>
      <w:r w:rsidR="00073A65">
        <w:rPr>
          <w:rFonts w:eastAsia="Times New Roman" w:cs="Royal Arabic" w:hint="cs"/>
          <w:sz w:val="34"/>
          <w:szCs w:val="34"/>
          <w:rtl/>
        </w:rPr>
        <w:t xml:space="preserve"> وفق التفصيل في الاعتراض</w:t>
      </w:r>
      <w:r w:rsidR="00267B59">
        <w:rPr>
          <w:rFonts w:eastAsia="Times New Roman" w:cs="Royal Arabic" w:hint="cs"/>
          <w:sz w:val="34"/>
          <w:szCs w:val="34"/>
          <w:rtl/>
        </w:rPr>
        <w:t>.</w:t>
      </w:r>
    </w:p>
    <w:p w14:paraId="4A01476F" w14:textId="7FE36A43" w:rsidR="00E9431A" w:rsidRDefault="00073A65" w:rsidP="00E97BE7">
      <w:pPr>
        <w:spacing w:after="0" w:line="240" w:lineRule="auto"/>
        <w:jc w:val="both"/>
        <w:rPr>
          <w:rFonts w:eastAsia="Times New Roman" w:cs="Royal Arabic"/>
          <w:sz w:val="34"/>
          <w:szCs w:val="34"/>
          <w:rtl/>
        </w:rPr>
      </w:pPr>
      <w:r>
        <w:rPr>
          <w:rFonts w:eastAsia="Times New Roman" w:cs="Royal Arabic" w:hint="cs"/>
          <w:sz w:val="34"/>
          <w:szCs w:val="34"/>
          <w:rtl/>
        </w:rPr>
        <w:t xml:space="preserve">وجوابه: </w:t>
      </w:r>
      <w:r w:rsidR="00267B59">
        <w:rPr>
          <w:rFonts w:eastAsia="Times New Roman" w:cs="Royal Arabic" w:hint="cs"/>
          <w:sz w:val="34"/>
          <w:szCs w:val="34"/>
          <w:rtl/>
        </w:rPr>
        <w:t>أن</w:t>
      </w:r>
      <w:r w:rsidR="00E9431A">
        <w:rPr>
          <w:rFonts w:eastAsia="Times New Roman" w:cs="Royal Arabic" w:hint="cs"/>
          <w:sz w:val="34"/>
          <w:szCs w:val="34"/>
          <w:rtl/>
        </w:rPr>
        <w:t xml:space="preserve"> الأحوال المنصوصة نظاماً لقبول الاعتراض أمام المحكمة الإدارية العليا لا تنطبق على السبب الذي يستند إليه المعترض.</w:t>
      </w:r>
    </w:p>
    <w:p w14:paraId="3B6FF896" w14:textId="41A8C515" w:rsidR="00277F18" w:rsidRDefault="00E9431A" w:rsidP="00E97225">
      <w:pPr>
        <w:spacing w:after="0" w:line="240" w:lineRule="auto"/>
        <w:jc w:val="both"/>
        <w:rPr>
          <w:rFonts w:eastAsia="Times New Roman" w:cs="Royal Arabic"/>
          <w:sz w:val="34"/>
          <w:szCs w:val="34"/>
          <w:rtl/>
        </w:rPr>
      </w:pPr>
      <w:r>
        <w:rPr>
          <w:rFonts w:eastAsia="Times New Roman" w:cs="Royal Arabic" w:hint="cs"/>
          <w:sz w:val="34"/>
          <w:szCs w:val="34"/>
          <w:rtl/>
        </w:rPr>
        <w:t>وبشأن الادعاء المشار له؛ فيُجاب عليه بأن</w:t>
      </w:r>
      <w:r w:rsidR="00277F18">
        <w:rPr>
          <w:rFonts w:eastAsia="Times New Roman" w:cs="Royal Arabic" w:hint="cs"/>
          <w:sz w:val="34"/>
          <w:szCs w:val="34"/>
          <w:rtl/>
        </w:rPr>
        <w:t xml:space="preserve"> من أحوال</w:t>
      </w:r>
      <w:r w:rsidR="00073A65">
        <w:rPr>
          <w:rFonts w:eastAsia="Times New Roman" w:cs="Royal Arabic" w:hint="cs"/>
          <w:sz w:val="34"/>
          <w:szCs w:val="34"/>
          <w:rtl/>
        </w:rPr>
        <w:t xml:space="preserve"> اختصاصات اللجنة</w:t>
      </w:r>
      <w:r>
        <w:rPr>
          <w:rFonts w:eastAsia="Times New Roman" w:cs="Royal Arabic" w:hint="cs"/>
          <w:sz w:val="34"/>
          <w:szCs w:val="34"/>
          <w:rtl/>
        </w:rPr>
        <w:t xml:space="preserve"> </w:t>
      </w:r>
      <w:r w:rsidR="000F268A">
        <w:rPr>
          <w:rFonts w:eastAsia="Times New Roman" w:cs="Royal Arabic" w:hint="cs"/>
          <w:sz w:val="34"/>
          <w:szCs w:val="34"/>
          <w:rtl/>
        </w:rPr>
        <w:t>المقررة</w:t>
      </w:r>
      <w:r w:rsidR="00073A65">
        <w:rPr>
          <w:rFonts w:eastAsia="Times New Roman" w:cs="Royal Arabic" w:hint="cs"/>
          <w:sz w:val="34"/>
          <w:szCs w:val="34"/>
          <w:rtl/>
        </w:rPr>
        <w:t xml:space="preserve"> بصريح المادة </w:t>
      </w:r>
      <w:r>
        <w:rPr>
          <w:rFonts w:eastAsia="Times New Roman" w:cs="Royal Arabic" w:hint="cs"/>
          <w:sz w:val="34"/>
          <w:szCs w:val="34"/>
          <w:rtl/>
        </w:rPr>
        <w:t xml:space="preserve">(86) من نظام المنافسات والمشتريات الحكومية </w:t>
      </w:r>
      <w:r w:rsidR="00277F18">
        <w:rPr>
          <w:rFonts w:eastAsia="Times New Roman" w:cs="Royal Arabic" w:hint="cs"/>
          <w:sz w:val="34"/>
          <w:szCs w:val="34"/>
          <w:rtl/>
        </w:rPr>
        <w:t>ما ورد في الفقرة (أ)</w:t>
      </w:r>
      <w:r w:rsidR="00073A65">
        <w:rPr>
          <w:rFonts w:eastAsia="Times New Roman" w:cs="Royal Arabic" w:hint="cs"/>
          <w:sz w:val="34"/>
          <w:szCs w:val="34"/>
          <w:rtl/>
        </w:rPr>
        <w:t xml:space="preserve"> منها</w:t>
      </w:r>
      <w:r w:rsidR="00277F18">
        <w:rPr>
          <w:rFonts w:eastAsia="Times New Roman" w:cs="Royal Arabic" w:hint="cs"/>
          <w:sz w:val="34"/>
          <w:szCs w:val="34"/>
          <w:rtl/>
        </w:rPr>
        <w:t xml:space="preserve"> باختصاص اللجنة </w:t>
      </w:r>
      <w:r w:rsidR="001E72A6">
        <w:rPr>
          <w:rFonts w:eastAsia="Times New Roman" w:cs="Royal Arabic" w:hint="cs"/>
          <w:sz w:val="34"/>
          <w:szCs w:val="34"/>
          <w:rtl/>
        </w:rPr>
        <w:t>بـ</w:t>
      </w:r>
      <w:r w:rsidR="00277F18">
        <w:rPr>
          <w:rFonts w:eastAsia="Times New Roman" w:cs="Royal Arabic" w:hint="cs"/>
          <w:sz w:val="34"/>
          <w:szCs w:val="34"/>
          <w:rtl/>
        </w:rPr>
        <w:t>(النظر في تظلمات المتنافسين من قرار الترسية أو من أي قرار أو إجراء تتخذه الجهة الحكومية قبل قرار الترسية)، وهذه الفقرة تصدق على القرار محل الدعوى، فهو قرار صادر بالنسبة للمدعي بوصفه متنافساً لا متعاقداً معه، وفي محل ساب</w:t>
      </w:r>
      <w:r w:rsidR="00073A65">
        <w:rPr>
          <w:rFonts w:eastAsia="Times New Roman" w:cs="Royal Arabic" w:hint="cs"/>
          <w:sz w:val="34"/>
          <w:szCs w:val="34"/>
          <w:rtl/>
        </w:rPr>
        <w:t xml:space="preserve">ق لمحل قرار </w:t>
      </w:r>
      <w:proofErr w:type="spellStart"/>
      <w:r w:rsidR="00073A65">
        <w:rPr>
          <w:rFonts w:eastAsia="Times New Roman" w:cs="Royal Arabic" w:hint="cs"/>
          <w:sz w:val="34"/>
          <w:szCs w:val="34"/>
          <w:rtl/>
        </w:rPr>
        <w:t>الترسية</w:t>
      </w:r>
      <w:proofErr w:type="spellEnd"/>
      <w:r w:rsidR="00073A65">
        <w:rPr>
          <w:rFonts w:eastAsia="Times New Roman" w:cs="Royal Arabic" w:hint="cs"/>
          <w:sz w:val="34"/>
          <w:szCs w:val="34"/>
          <w:rtl/>
        </w:rPr>
        <w:t xml:space="preserve"> ومتقدم عليه</w:t>
      </w:r>
      <w:r w:rsidR="00E97BE7">
        <w:rPr>
          <w:rFonts w:eastAsia="Times New Roman" w:cs="Royal Arabic" w:hint="cs"/>
          <w:sz w:val="34"/>
          <w:szCs w:val="34"/>
          <w:rtl/>
        </w:rPr>
        <w:t xml:space="preserve"> من حيث طبيعة القرار وموضوعه</w:t>
      </w:r>
      <w:r w:rsidR="00073A65">
        <w:rPr>
          <w:rFonts w:eastAsia="Times New Roman" w:cs="Royal Arabic" w:hint="cs"/>
          <w:sz w:val="34"/>
          <w:szCs w:val="34"/>
          <w:rtl/>
        </w:rPr>
        <w:t>، و</w:t>
      </w:r>
      <w:r w:rsidR="00E97BE7">
        <w:rPr>
          <w:rFonts w:eastAsia="Times New Roman" w:cs="Royal Arabic" w:hint="cs"/>
          <w:sz w:val="34"/>
          <w:szCs w:val="34"/>
          <w:rtl/>
        </w:rPr>
        <w:t>ك</w:t>
      </w:r>
      <w:r w:rsidR="00073A65">
        <w:rPr>
          <w:rFonts w:eastAsia="Times New Roman" w:cs="Royal Arabic" w:hint="cs"/>
          <w:sz w:val="34"/>
          <w:szCs w:val="34"/>
          <w:rtl/>
        </w:rPr>
        <w:t xml:space="preserve">ذلك </w:t>
      </w:r>
      <w:r w:rsidR="00E97BE7">
        <w:rPr>
          <w:rFonts w:eastAsia="Times New Roman" w:cs="Royal Arabic" w:hint="cs"/>
          <w:sz w:val="34"/>
          <w:szCs w:val="34"/>
          <w:rtl/>
        </w:rPr>
        <w:t>من حيث إ</w:t>
      </w:r>
      <w:r w:rsidR="00073A65">
        <w:rPr>
          <w:rFonts w:eastAsia="Times New Roman" w:cs="Royal Arabic" w:hint="cs"/>
          <w:sz w:val="34"/>
          <w:szCs w:val="34"/>
          <w:rtl/>
        </w:rPr>
        <w:t xml:space="preserve">ن العلاقة بعد قرار </w:t>
      </w:r>
      <w:proofErr w:type="spellStart"/>
      <w:r w:rsidR="00073A65">
        <w:rPr>
          <w:rFonts w:eastAsia="Times New Roman" w:cs="Royal Arabic" w:hint="cs"/>
          <w:sz w:val="34"/>
          <w:szCs w:val="34"/>
          <w:rtl/>
        </w:rPr>
        <w:t>الترسية</w:t>
      </w:r>
      <w:proofErr w:type="spellEnd"/>
      <w:r w:rsidR="00073A65">
        <w:rPr>
          <w:rFonts w:eastAsia="Times New Roman" w:cs="Royal Arabic" w:hint="cs"/>
          <w:sz w:val="34"/>
          <w:szCs w:val="34"/>
          <w:rtl/>
        </w:rPr>
        <w:t xml:space="preserve"> لا تتحول إلى علاقة عقدية وتكون القرارات بشأنها قرارات متصلة بالعقد وخارجة عن اختصاص اللجنة</w:t>
      </w:r>
      <w:r w:rsidR="001E72A6">
        <w:rPr>
          <w:rFonts w:eastAsia="Times New Roman" w:cs="Royal Arabic" w:hint="cs"/>
          <w:sz w:val="34"/>
          <w:szCs w:val="34"/>
          <w:rtl/>
        </w:rPr>
        <w:t xml:space="preserve"> -وفق الفقرة (أ) المشار لها-</w:t>
      </w:r>
      <w:r w:rsidR="00073A65">
        <w:rPr>
          <w:rFonts w:eastAsia="Times New Roman" w:cs="Royal Arabic" w:hint="cs"/>
          <w:sz w:val="34"/>
          <w:szCs w:val="34"/>
          <w:rtl/>
        </w:rPr>
        <w:t xml:space="preserve"> إلا </w:t>
      </w:r>
      <w:r w:rsidR="00D16A77">
        <w:rPr>
          <w:rFonts w:eastAsia="Times New Roman" w:cs="Royal Arabic" w:hint="cs"/>
          <w:sz w:val="34"/>
          <w:szCs w:val="34"/>
          <w:rtl/>
        </w:rPr>
        <w:t>بالنسبة</w:t>
      </w:r>
      <w:r w:rsidR="00073A65">
        <w:rPr>
          <w:rFonts w:eastAsia="Times New Roman" w:cs="Royal Arabic" w:hint="cs"/>
          <w:sz w:val="34"/>
          <w:szCs w:val="34"/>
          <w:rtl/>
        </w:rPr>
        <w:t xml:space="preserve"> </w:t>
      </w:r>
      <w:r w:rsidR="00D16A77">
        <w:rPr>
          <w:rFonts w:eastAsia="Times New Roman" w:cs="Royal Arabic" w:hint="cs"/>
          <w:sz w:val="34"/>
          <w:szCs w:val="34"/>
          <w:rtl/>
        </w:rPr>
        <w:t>ل</w:t>
      </w:r>
      <w:r w:rsidR="00073A65">
        <w:rPr>
          <w:rFonts w:eastAsia="Times New Roman" w:cs="Royal Arabic" w:hint="cs"/>
          <w:sz w:val="34"/>
          <w:szCs w:val="34"/>
          <w:rtl/>
        </w:rPr>
        <w:t xml:space="preserve">لمتعاقد معه فقط دون غيره من المتنافسين الآخرين الذين لم تتم </w:t>
      </w:r>
      <w:proofErr w:type="spellStart"/>
      <w:r w:rsidR="00073A65">
        <w:rPr>
          <w:rFonts w:eastAsia="Times New Roman" w:cs="Royal Arabic" w:hint="cs"/>
          <w:sz w:val="34"/>
          <w:szCs w:val="34"/>
          <w:rtl/>
        </w:rPr>
        <w:t>الترسية</w:t>
      </w:r>
      <w:proofErr w:type="spellEnd"/>
      <w:r w:rsidR="00073A65">
        <w:rPr>
          <w:rFonts w:eastAsia="Times New Roman" w:cs="Royal Arabic" w:hint="cs"/>
          <w:sz w:val="34"/>
          <w:szCs w:val="34"/>
          <w:rtl/>
        </w:rPr>
        <w:t xml:space="preserve"> عليهم -كحال المعترض- فالقرارات</w:t>
      </w:r>
      <w:r w:rsidR="00D16A77">
        <w:rPr>
          <w:rFonts w:eastAsia="Times New Roman" w:cs="Royal Arabic" w:hint="cs"/>
          <w:sz w:val="34"/>
          <w:szCs w:val="34"/>
          <w:rtl/>
        </w:rPr>
        <w:t xml:space="preserve"> ذات العلاقة بالمنافسة الصادرة</w:t>
      </w:r>
      <w:r w:rsidR="00E97BE7">
        <w:rPr>
          <w:rFonts w:eastAsia="Times New Roman" w:cs="Royal Arabic" w:hint="cs"/>
          <w:sz w:val="34"/>
          <w:szCs w:val="34"/>
          <w:rtl/>
        </w:rPr>
        <w:t xml:space="preserve"> بحق المتنافسين غير المرسى عليهم</w:t>
      </w:r>
      <w:r w:rsidR="00073A65">
        <w:rPr>
          <w:rFonts w:eastAsia="Times New Roman" w:cs="Royal Arabic" w:hint="cs"/>
          <w:sz w:val="34"/>
          <w:szCs w:val="34"/>
          <w:rtl/>
        </w:rPr>
        <w:t xml:space="preserve"> هي قرارات سابقة لقرار </w:t>
      </w:r>
      <w:proofErr w:type="spellStart"/>
      <w:r w:rsidR="00073A65">
        <w:rPr>
          <w:rFonts w:eastAsia="Times New Roman" w:cs="Royal Arabic" w:hint="cs"/>
          <w:sz w:val="34"/>
          <w:szCs w:val="34"/>
          <w:rtl/>
        </w:rPr>
        <w:t>الترسية</w:t>
      </w:r>
      <w:proofErr w:type="spellEnd"/>
      <w:r w:rsidR="00073A65">
        <w:rPr>
          <w:rFonts w:eastAsia="Times New Roman" w:cs="Royal Arabic" w:hint="cs"/>
          <w:sz w:val="34"/>
          <w:szCs w:val="34"/>
          <w:rtl/>
        </w:rPr>
        <w:t xml:space="preserve"> </w:t>
      </w:r>
      <w:r w:rsidR="00D16A77">
        <w:rPr>
          <w:rFonts w:eastAsia="Times New Roman" w:cs="Royal Arabic" w:hint="cs"/>
          <w:sz w:val="34"/>
          <w:szCs w:val="34"/>
          <w:rtl/>
        </w:rPr>
        <w:t xml:space="preserve">بالنسبة لهم بطبيعة الحال، وكذلك </w:t>
      </w:r>
      <w:r w:rsidR="00073A65">
        <w:rPr>
          <w:rFonts w:eastAsia="Times New Roman" w:cs="Royal Arabic" w:hint="cs"/>
          <w:sz w:val="34"/>
          <w:szCs w:val="34"/>
          <w:rtl/>
        </w:rPr>
        <w:t>باعتبار المحل والأثر من جهة انفكاك العلاقة العقدية بين المتنافس غير المرسى عليه وبين جهة الإدارة</w:t>
      </w:r>
      <w:r w:rsidR="00E97BE7">
        <w:rPr>
          <w:rFonts w:eastAsia="Times New Roman" w:cs="Royal Arabic" w:hint="cs"/>
          <w:sz w:val="34"/>
          <w:szCs w:val="34"/>
          <w:rtl/>
        </w:rPr>
        <w:t>، وأيضاً من جهة أن العبرة</w:t>
      </w:r>
      <w:bookmarkStart w:id="0" w:name="_GoBack"/>
      <w:bookmarkEnd w:id="0"/>
      <w:r w:rsidR="00E97BE7">
        <w:rPr>
          <w:rFonts w:eastAsia="Times New Roman" w:cs="Royal Arabic" w:hint="cs"/>
          <w:sz w:val="34"/>
          <w:szCs w:val="34"/>
          <w:rtl/>
        </w:rPr>
        <w:t xml:space="preserve"> بموضوع القرار </w:t>
      </w:r>
      <w:r w:rsidR="00E97225">
        <w:rPr>
          <w:rFonts w:eastAsia="Times New Roman" w:cs="Royal Arabic" w:hint="cs"/>
          <w:sz w:val="34"/>
          <w:szCs w:val="34"/>
          <w:rtl/>
        </w:rPr>
        <w:t>الذي</w:t>
      </w:r>
      <w:r w:rsidR="00E97BE7">
        <w:rPr>
          <w:rFonts w:eastAsia="Times New Roman" w:cs="Royal Arabic" w:hint="cs"/>
          <w:sz w:val="34"/>
          <w:szCs w:val="34"/>
          <w:rtl/>
        </w:rPr>
        <w:t xml:space="preserve"> </w:t>
      </w:r>
      <w:r w:rsidR="00E97225">
        <w:rPr>
          <w:rFonts w:eastAsia="Times New Roman" w:cs="Royal Arabic" w:hint="cs"/>
          <w:sz w:val="34"/>
          <w:szCs w:val="34"/>
          <w:rtl/>
        </w:rPr>
        <w:t>ي</w:t>
      </w:r>
      <w:r w:rsidR="00E97BE7">
        <w:rPr>
          <w:rFonts w:eastAsia="Times New Roman" w:cs="Royal Arabic" w:hint="cs"/>
          <w:sz w:val="34"/>
          <w:szCs w:val="34"/>
          <w:rtl/>
        </w:rPr>
        <w:t xml:space="preserve">عود لأمر سابق لقرار </w:t>
      </w:r>
      <w:proofErr w:type="spellStart"/>
      <w:r w:rsidR="00E97BE7">
        <w:rPr>
          <w:rFonts w:eastAsia="Times New Roman" w:cs="Royal Arabic" w:hint="cs"/>
          <w:sz w:val="34"/>
          <w:szCs w:val="34"/>
          <w:rtl/>
        </w:rPr>
        <w:t>الترسية</w:t>
      </w:r>
      <w:proofErr w:type="spellEnd"/>
      <w:r w:rsidR="00E97BE7" w:rsidRPr="00E97BE7">
        <w:rPr>
          <w:rFonts w:eastAsia="Times New Roman" w:cs="Royal Arabic" w:hint="cs"/>
          <w:sz w:val="34"/>
          <w:szCs w:val="34"/>
          <w:rtl/>
        </w:rPr>
        <w:t xml:space="preserve"> </w:t>
      </w:r>
      <w:r w:rsidR="00E97BE7">
        <w:rPr>
          <w:rFonts w:eastAsia="Times New Roman" w:cs="Royal Arabic" w:hint="cs"/>
          <w:sz w:val="34"/>
          <w:szCs w:val="34"/>
          <w:rtl/>
        </w:rPr>
        <w:t>بالنظر إلى طبيعته</w:t>
      </w:r>
      <w:r w:rsidR="00E97225">
        <w:rPr>
          <w:rFonts w:eastAsia="Times New Roman" w:cs="Royal Arabic" w:hint="cs"/>
          <w:sz w:val="34"/>
          <w:szCs w:val="34"/>
          <w:rtl/>
        </w:rPr>
        <w:t xml:space="preserve"> ومضمونه</w:t>
      </w:r>
      <w:r w:rsidR="00E97BE7">
        <w:rPr>
          <w:rFonts w:eastAsia="Times New Roman" w:cs="Royal Arabic" w:hint="cs"/>
          <w:sz w:val="34"/>
          <w:szCs w:val="34"/>
          <w:rtl/>
        </w:rPr>
        <w:t xml:space="preserve">؛ </w:t>
      </w:r>
      <w:r w:rsidR="00073A65">
        <w:rPr>
          <w:rFonts w:eastAsia="Times New Roman" w:cs="Royal Arabic" w:hint="cs"/>
          <w:sz w:val="34"/>
          <w:szCs w:val="34"/>
          <w:rtl/>
        </w:rPr>
        <w:t xml:space="preserve">بما يكون مشمولاً </w:t>
      </w:r>
      <w:r>
        <w:rPr>
          <w:rFonts w:eastAsia="Times New Roman" w:cs="Royal Arabic" w:hint="cs"/>
          <w:sz w:val="34"/>
          <w:szCs w:val="34"/>
          <w:rtl/>
        </w:rPr>
        <w:t>بحكم المادة (86/أ) المشار لها، وهو ما قضى</w:t>
      </w:r>
      <w:r w:rsidR="00073A65">
        <w:rPr>
          <w:rFonts w:eastAsia="Times New Roman" w:cs="Royal Arabic" w:hint="cs"/>
          <w:sz w:val="34"/>
          <w:szCs w:val="34"/>
          <w:rtl/>
        </w:rPr>
        <w:t xml:space="preserve"> به حكم الاستئناف محل الاعتراض.</w:t>
      </w:r>
    </w:p>
    <w:p w14:paraId="009371B5" w14:textId="1AB3E8F2" w:rsidR="00E9431A" w:rsidRDefault="001E72A6" w:rsidP="001F455F">
      <w:pPr>
        <w:spacing w:after="0" w:line="240" w:lineRule="auto"/>
        <w:jc w:val="both"/>
        <w:rPr>
          <w:rFonts w:eastAsia="Times New Roman" w:cs="Royal Arabic"/>
          <w:sz w:val="34"/>
          <w:szCs w:val="34"/>
          <w:rtl/>
        </w:rPr>
      </w:pPr>
      <w:r>
        <w:rPr>
          <w:rFonts w:eastAsia="Times New Roman" w:cs="Royal Arabic" w:hint="cs"/>
          <w:sz w:val="34"/>
          <w:szCs w:val="34"/>
          <w:rtl/>
        </w:rPr>
        <w:t>وبناءً على ذلك، وعلى ما اشتملت عليه المذكرات السالفة المقدمة من ديوان المظالم من دفوع جوهرية تجلي صحة القرار محل الدعوى</w:t>
      </w:r>
      <w:r w:rsidR="00E9431A">
        <w:rPr>
          <w:rFonts w:eastAsia="Times New Roman" w:cs="Royal Arabic" w:hint="cs"/>
          <w:sz w:val="34"/>
          <w:szCs w:val="34"/>
          <w:rtl/>
        </w:rPr>
        <w:t xml:space="preserve"> وسلامة مستنده</w:t>
      </w:r>
      <w:r>
        <w:rPr>
          <w:rFonts w:eastAsia="Times New Roman" w:cs="Royal Arabic" w:hint="cs"/>
          <w:sz w:val="34"/>
          <w:szCs w:val="34"/>
          <w:rtl/>
        </w:rPr>
        <w:t>؛ نلتمس منكم القضاء</w:t>
      </w:r>
      <w:r w:rsidR="00E9431A">
        <w:rPr>
          <w:rFonts w:eastAsia="Times New Roman" w:cs="Royal Arabic" w:hint="cs"/>
          <w:sz w:val="34"/>
          <w:szCs w:val="34"/>
          <w:rtl/>
        </w:rPr>
        <w:t xml:space="preserve"> بعدم قبول الاعتراض</w:t>
      </w:r>
      <w:r w:rsidR="00B36BBF">
        <w:rPr>
          <w:rFonts w:eastAsia="Times New Roman" w:cs="Royal Arabic" w:hint="cs"/>
          <w:sz w:val="34"/>
          <w:szCs w:val="34"/>
          <w:rtl/>
        </w:rPr>
        <w:t xml:space="preserve"> شكلاً</w:t>
      </w:r>
      <w:r w:rsidR="00E9431A">
        <w:rPr>
          <w:rFonts w:eastAsia="Times New Roman" w:cs="Royal Arabic" w:hint="cs"/>
          <w:sz w:val="34"/>
          <w:szCs w:val="34"/>
          <w:rtl/>
        </w:rPr>
        <w:t>؛ لعدم انطباق الأحوال المنصوصة نظاماً، و</w:t>
      </w:r>
      <w:r>
        <w:rPr>
          <w:rFonts w:eastAsia="Times New Roman" w:cs="Royal Arabic" w:hint="cs"/>
          <w:sz w:val="34"/>
          <w:szCs w:val="34"/>
          <w:rtl/>
        </w:rPr>
        <w:t>برفض</w:t>
      </w:r>
      <w:r w:rsidR="00B36BBF">
        <w:rPr>
          <w:rFonts w:eastAsia="Times New Roman" w:cs="Royal Arabic" w:hint="cs"/>
          <w:sz w:val="34"/>
          <w:szCs w:val="34"/>
          <w:rtl/>
        </w:rPr>
        <w:t>ه موضوعاً</w:t>
      </w:r>
      <w:r w:rsidR="00E9431A">
        <w:rPr>
          <w:rFonts w:eastAsia="Times New Roman" w:cs="Royal Arabic" w:hint="cs"/>
          <w:sz w:val="34"/>
          <w:szCs w:val="34"/>
          <w:rtl/>
        </w:rPr>
        <w:t>.</w:t>
      </w:r>
    </w:p>
    <w:p w14:paraId="7BD9EE17" w14:textId="728FE8F8" w:rsidR="00E9431A" w:rsidRDefault="00E9431A" w:rsidP="00E9431A">
      <w:pPr>
        <w:spacing w:after="0" w:line="240" w:lineRule="auto"/>
        <w:jc w:val="both"/>
        <w:rPr>
          <w:rFonts w:eastAsia="Times New Roman" w:cs="Royal Arabic"/>
          <w:sz w:val="34"/>
          <w:szCs w:val="34"/>
          <w:rtl/>
        </w:rPr>
      </w:pPr>
    </w:p>
    <w:p w14:paraId="366ABD90" w14:textId="7F674713" w:rsidR="00E9431A" w:rsidRPr="00E9431A" w:rsidRDefault="00E9431A" w:rsidP="000C6742">
      <w:pPr>
        <w:spacing w:after="0" w:line="240" w:lineRule="auto"/>
        <w:jc w:val="right"/>
        <w:rPr>
          <w:rFonts w:eastAsia="Times New Roman" w:cs="Royal Arabic"/>
          <w:sz w:val="34"/>
          <w:szCs w:val="34"/>
        </w:rPr>
      </w:pPr>
      <w:r>
        <w:rPr>
          <w:rFonts w:eastAsia="Times New Roman" w:cs="Royal Arabic" w:hint="cs"/>
          <w:sz w:val="34"/>
          <w:szCs w:val="34"/>
          <w:rtl/>
        </w:rPr>
        <w:t>ممثل ديوان المظالم</w:t>
      </w:r>
    </w:p>
    <w:sectPr w:rsidR="00E9431A" w:rsidRPr="00E9431A" w:rsidSect="001F455F">
      <w:pgSz w:w="11906" w:h="16838"/>
      <w:pgMar w:top="1440" w:right="1800" w:bottom="851"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Mohanad">
    <w:panose1 w:val="00000000000000000000"/>
    <w:charset w:val="B2"/>
    <w:family w:val="auto"/>
    <w:pitch w:val="variable"/>
    <w:sig w:usb0="00002001" w:usb1="00000000" w:usb2="00000000" w:usb3="00000000" w:csb0="00000040"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B66D7"/>
    <w:multiLevelType w:val="multilevel"/>
    <w:tmpl w:val="279A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D2E01"/>
    <w:multiLevelType w:val="multilevel"/>
    <w:tmpl w:val="10E6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350"/>
    <w:rsid w:val="0004152D"/>
    <w:rsid w:val="00073A65"/>
    <w:rsid w:val="000965DF"/>
    <w:rsid w:val="000C6722"/>
    <w:rsid w:val="000C6742"/>
    <w:rsid w:val="000E1B33"/>
    <w:rsid w:val="000E2332"/>
    <w:rsid w:val="000F268A"/>
    <w:rsid w:val="00146043"/>
    <w:rsid w:val="001938D0"/>
    <w:rsid w:val="001C4698"/>
    <w:rsid w:val="001E72A6"/>
    <w:rsid w:val="001F3AF1"/>
    <w:rsid w:val="001F455F"/>
    <w:rsid w:val="0020270B"/>
    <w:rsid w:val="00207716"/>
    <w:rsid w:val="00230D44"/>
    <w:rsid w:val="00260CE6"/>
    <w:rsid w:val="00267B59"/>
    <w:rsid w:val="00277F18"/>
    <w:rsid w:val="002A0330"/>
    <w:rsid w:val="002C6396"/>
    <w:rsid w:val="003B2615"/>
    <w:rsid w:val="00406329"/>
    <w:rsid w:val="00440EE0"/>
    <w:rsid w:val="00460486"/>
    <w:rsid w:val="004A717A"/>
    <w:rsid w:val="004B0FC0"/>
    <w:rsid w:val="00501CD8"/>
    <w:rsid w:val="005C3596"/>
    <w:rsid w:val="005D372D"/>
    <w:rsid w:val="00631498"/>
    <w:rsid w:val="006725BD"/>
    <w:rsid w:val="006909DE"/>
    <w:rsid w:val="006E4696"/>
    <w:rsid w:val="00707472"/>
    <w:rsid w:val="00724F39"/>
    <w:rsid w:val="00792DF6"/>
    <w:rsid w:val="007A1A9C"/>
    <w:rsid w:val="0080093B"/>
    <w:rsid w:val="00884E71"/>
    <w:rsid w:val="0089470A"/>
    <w:rsid w:val="008C51B2"/>
    <w:rsid w:val="008E5BFB"/>
    <w:rsid w:val="008F4627"/>
    <w:rsid w:val="00931493"/>
    <w:rsid w:val="00962BAC"/>
    <w:rsid w:val="009A4432"/>
    <w:rsid w:val="00A5236A"/>
    <w:rsid w:val="00A62F99"/>
    <w:rsid w:val="00AD4606"/>
    <w:rsid w:val="00B36BBF"/>
    <w:rsid w:val="00B70E06"/>
    <w:rsid w:val="00B93E79"/>
    <w:rsid w:val="00BA037C"/>
    <w:rsid w:val="00BB65FE"/>
    <w:rsid w:val="00C020DE"/>
    <w:rsid w:val="00C74C07"/>
    <w:rsid w:val="00CB67ED"/>
    <w:rsid w:val="00CD2350"/>
    <w:rsid w:val="00CF21BC"/>
    <w:rsid w:val="00D00495"/>
    <w:rsid w:val="00D1052B"/>
    <w:rsid w:val="00D16A77"/>
    <w:rsid w:val="00D74CE6"/>
    <w:rsid w:val="00DC7747"/>
    <w:rsid w:val="00E25AFF"/>
    <w:rsid w:val="00E53D0C"/>
    <w:rsid w:val="00E9431A"/>
    <w:rsid w:val="00E97225"/>
    <w:rsid w:val="00E97BE7"/>
    <w:rsid w:val="00EC799C"/>
    <w:rsid w:val="00EE341C"/>
    <w:rsid w:val="00F214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1D604"/>
  <w15:chartTrackingRefBased/>
  <w15:docId w15:val="{51FB0042-A3AB-431B-B3B0-91F34299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rsid w:val="00501CD8"/>
    <w:pPr>
      <w:spacing w:after="0" w:line="400" w:lineRule="exact"/>
      <w:jc w:val="lowKashida"/>
    </w:pPr>
    <w:rPr>
      <w:rFonts w:ascii="Times New Roman" w:eastAsia="Times New Roman" w:hAnsi="Times New Roman" w:cs="AL-Mohanad"/>
      <w:sz w:val="36"/>
      <w:szCs w:val="36"/>
      <w:lang w:eastAsia="ar-SA"/>
    </w:rPr>
  </w:style>
  <w:style w:type="character" w:customStyle="1" w:styleId="Char">
    <w:name w:val="نص أساسي Char"/>
    <w:basedOn w:val="a0"/>
    <w:link w:val="a3"/>
    <w:rsid w:val="00501CD8"/>
    <w:rPr>
      <w:rFonts w:ascii="Times New Roman" w:eastAsia="Times New Roman" w:hAnsi="Times New Roman" w:cs="AL-Mohanad"/>
      <w:sz w:val="36"/>
      <w:szCs w:val="3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351583">
      <w:bodyDiv w:val="1"/>
      <w:marLeft w:val="0"/>
      <w:marRight w:val="0"/>
      <w:marTop w:val="0"/>
      <w:marBottom w:val="0"/>
      <w:divBdr>
        <w:top w:val="none" w:sz="0" w:space="0" w:color="auto"/>
        <w:left w:val="none" w:sz="0" w:space="0" w:color="auto"/>
        <w:bottom w:val="none" w:sz="0" w:space="0" w:color="auto"/>
        <w:right w:val="none" w:sz="0" w:space="0" w:color="auto"/>
      </w:divBdr>
    </w:div>
    <w:div w:id="1888762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311</Words>
  <Characters>1775</Characters>
  <Application>Microsoft Office Word</Application>
  <DocSecurity>0</DocSecurity>
  <Lines>14</Lines>
  <Paragraphs>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عبدالرحمن عبدالله عبدالرحمن العمر</dc:creator>
  <cp:keywords/>
  <dc:description/>
  <cp:lastModifiedBy>عبدالرحمن عبدالله عبدالرحمن العمر</cp:lastModifiedBy>
  <cp:revision>3</cp:revision>
  <dcterms:created xsi:type="dcterms:W3CDTF">2025-01-14T11:08:00Z</dcterms:created>
  <dcterms:modified xsi:type="dcterms:W3CDTF">2025-01-14T11:09:00Z</dcterms:modified>
</cp:coreProperties>
</file>