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1E3D0F3" w14:textId="1A5BE42B" w:rsidR="00ED6484" w:rsidRPr="00107211" w:rsidRDefault="00107211" w:rsidP="00107211">
      <w:pPr>
        <w:jc w:val="center"/>
        <w:rPr>
          <w:rFonts w:cs="Royal Arabic"/>
          <w:b/>
          <w:bCs/>
          <w:sz w:val="32"/>
          <w:szCs w:val="32"/>
          <w:rtl/>
        </w:rPr>
      </w:pPr>
      <w:r w:rsidRPr="00107211">
        <w:rPr>
          <w:rFonts w:cs="Royal Arabic" w:hint="cs"/>
          <w:b/>
          <w:bCs/>
          <w:sz w:val="32"/>
          <w:szCs w:val="32"/>
          <w:rtl/>
        </w:rPr>
        <w:t>بسم الله الرحمن الرحيم</w:t>
      </w:r>
    </w:p>
    <w:p w14:paraId="711F01AB" w14:textId="720CA233" w:rsidR="00107211" w:rsidRPr="00107211" w:rsidRDefault="00107211" w:rsidP="00107211">
      <w:pPr>
        <w:jc w:val="center"/>
        <w:rPr>
          <w:rFonts w:cs="Royal Arabic"/>
          <w:b/>
          <w:bCs/>
          <w:sz w:val="32"/>
          <w:szCs w:val="32"/>
          <w:rtl/>
        </w:rPr>
      </w:pPr>
      <w:r w:rsidRPr="00107211">
        <w:rPr>
          <w:rFonts w:cs="Royal Arabic" w:hint="cs"/>
          <w:b/>
          <w:bCs/>
          <w:sz w:val="32"/>
          <w:szCs w:val="32"/>
          <w:rtl/>
        </w:rPr>
        <w:t>مذكرة جوابية</w:t>
      </w:r>
    </w:p>
    <w:p w14:paraId="3DD95106" w14:textId="165B9F1F" w:rsidR="00107211" w:rsidRPr="00107211" w:rsidRDefault="00107211" w:rsidP="009219CA">
      <w:pPr>
        <w:jc w:val="center"/>
        <w:rPr>
          <w:rFonts w:cs="Royal Arabic"/>
          <w:b/>
          <w:bCs/>
          <w:sz w:val="32"/>
          <w:szCs w:val="32"/>
          <w:rtl/>
        </w:rPr>
      </w:pPr>
      <w:r w:rsidRPr="00107211">
        <w:rPr>
          <w:rFonts w:cs="Royal Arabic" w:hint="cs"/>
          <w:b/>
          <w:bCs/>
          <w:sz w:val="32"/>
          <w:szCs w:val="32"/>
          <w:rtl/>
        </w:rPr>
        <w:t>في الدعوى رقم (</w:t>
      </w:r>
      <w:r w:rsidR="009219CA">
        <w:rPr>
          <w:rFonts w:cs="Royal Arabic" w:hint="cs"/>
          <w:b/>
          <w:bCs/>
          <w:sz w:val="32"/>
          <w:szCs w:val="32"/>
          <w:rtl/>
        </w:rPr>
        <w:t>77828</w:t>
      </w:r>
      <w:r w:rsidRPr="00107211">
        <w:rPr>
          <w:rFonts w:cs="Royal Arabic" w:hint="cs"/>
          <w:b/>
          <w:bCs/>
          <w:sz w:val="32"/>
          <w:szCs w:val="32"/>
          <w:rtl/>
        </w:rPr>
        <w:t xml:space="preserve">) لعام 1447هـ، المقامة من/ </w:t>
      </w:r>
      <w:r w:rsidR="009219CA">
        <w:rPr>
          <w:rFonts w:cs="Royal Arabic" w:hint="cs"/>
          <w:b/>
          <w:bCs/>
          <w:sz w:val="32"/>
          <w:szCs w:val="32"/>
          <w:rtl/>
        </w:rPr>
        <w:t>مؤسسة الحجر الماسي الأول للرخام والحجر</w:t>
      </w:r>
    </w:p>
    <w:p w14:paraId="732AD3E0" w14:textId="2748C692" w:rsidR="003B2A7A" w:rsidRPr="003B2A7A" w:rsidRDefault="00107211" w:rsidP="003B2A7A">
      <w:pPr>
        <w:jc w:val="center"/>
        <w:rPr>
          <w:rFonts w:cs="Royal Arabic"/>
          <w:b/>
          <w:bCs/>
          <w:sz w:val="32"/>
          <w:szCs w:val="32"/>
          <w:rtl/>
        </w:rPr>
      </w:pPr>
      <w:r w:rsidRPr="00107211">
        <w:rPr>
          <w:rFonts w:cs="Royal Arabic" w:hint="cs"/>
          <w:b/>
          <w:bCs/>
          <w:sz w:val="32"/>
          <w:szCs w:val="32"/>
          <w:rtl/>
        </w:rPr>
        <w:t>ضد/ ديوان المظالم</w:t>
      </w:r>
    </w:p>
    <w:p w14:paraId="1C9FDE29" w14:textId="0A0C3D38" w:rsidR="003B2A7A" w:rsidRPr="003B2A7A" w:rsidRDefault="003B2A7A" w:rsidP="003B2A7A">
      <w:pPr>
        <w:jc w:val="both"/>
        <w:rPr>
          <w:rFonts w:cs="Royal Arabic"/>
          <w:sz w:val="32"/>
          <w:szCs w:val="32"/>
          <w:rtl/>
        </w:rPr>
      </w:pPr>
      <w:r w:rsidRPr="003B2A7A">
        <w:rPr>
          <w:rFonts w:cs="Royal Arabic"/>
          <w:b/>
          <w:bCs/>
          <w:sz w:val="32"/>
          <w:szCs w:val="32"/>
          <w:rtl/>
        </w:rPr>
        <w:t>أول</w:t>
      </w:r>
      <w:r w:rsidRPr="003B2A7A">
        <w:rPr>
          <w:rFonts w:cs="Royal Arabic" w:hint="cs"/>
          <w:b/>
          <w:bCs/>
          <w:sz w:val="32"/>
          <w:szCs w:val="32"/>
          <w:rtl/>
        </w:rPr>
        <w:t>اً</w:t>
      </w:r>
      <w:r w:rsidRPr="003B2A7A">
        <w:rPr>
          <w:rFonts w:cs="Royal Arabic"/>
          <w:b/>
          <w:bCs/>
          <w:sz w:val="32"/>
          <w:szCs w:val="32"/>
          <w:rtl/>
        </w:rPr>
        <w:t>:</w:t>
      </w:r>
      <w:r w:rsidRPr="003B2A7A">
        <w:rPr>
          <w:rFonts w:cs="Royal Arabic"/>
          <w:sz w:val="32"/>
          <w:szCs w:val="32"/>
          <w:rtl/>
        </w:rPr>
        <w:t xml:space="preserve"> الدفع بعدم الاختصاص</w:t>
      </w:r>
      <w:r>
        <w:rPr>
          <w:rFonts w:cs="Royal Arabic" w:hint="cs"/>
          <w:sz w:val="32"/>
          <w:szCs w:val="32"/>
          <w:rtl/>
        </w:rPr>
        <w:t xml:space="preserve">: </w:t>
      </w:r>
    </w:p>
    <w:p w14:paraId="3D6E1491" w14:textId="0796C829" w:rsidR="003B2A7A" w:rsidRPr="003B2A7A" w:rsidRDefault="00870ED6" w:rsidP="003B2A7A">
      <w:pPr>
        <w:jc w:val="both"/>
        <w:rPr>
          <w:rFonts w:cs="Royal Arabic"/>
          <w:sz w:val="32"/>
          <w:szCs w:val="32"/>
          <w:rtl/>
        </w:rPr>
      </w:pPr>
      <w:r>
        <w:rPr>
          <w:rFonts w:cs="Royal Arabic"/>
          <w:sz w:val="32"/>
          <w:szCs w:val="32"/>
          <w:rtl/>
        </w:rPr>
        <w:tab/>
      </w:r>
      <w:r w:rsidR="003B2A7A" w:rsidRPr="003B2A7A">
        <w:rPr>
          <w:rFonts w:cs="Royal Arabic"/>
          <w:sz w:val="32"/>
          <w:szCs w:val="32"/>
          <w:rtl/>
        </w:rPr>
        <w:t>إن ما تطلبه المدعية في دعواها لا ينصب على قرار إداري صادر عن جهة إدارة، ولا على عمل إداري قاب</w:t>
      </w:r>
      <w:r w:rsidR="003B2A7A">
        <w:rPr>
          <w:rFonts w:cs="Royal Arabic"/>
          <w:sz w:val="32"/>
          <w:szCs w:val="32"/>
          <w:rtl/>
        </w:rPr>
        <w:t xml:space="preserve">ل للطعن أو التعويض، وإنما يقوم </w:t>
      </w:r>
      <w:r w:rsidR="003B2A7A">
        <w:rPr>
          <w:rFonts w:cs="Royal Arabic" w:hint="cs"/>
          <w:sz w:val="32"/>
          <w:szCs w:val="32"/>
          <w:rtl/>
        </w:rPr>
        <w:t>-</w:t>
      </w:r>
      <w:r w:rsidR="003B2A7A">
        <w:rPr>
          <w:rFonts w:cs="Royal Arabic"/>
          <w:sz w:val="32"/>
          <w:szCs w:val="32"/>
          <w:rtl/>
        </w:rPr>
        <w:t xml:space="preserve"> بحسب تكييف طلباتها ووقائعها </w:t>
      </w:r>
      <w:r w:rsidR="003B2A7A">
        <w:rPr>
          <w:rFonts w:cs="Royal Arabic" w:hint="cs"/>
          <w:sz w:val="32"/>
          <w:szCs w:val="32"/>
          <w:rtl/>
        </w:rPr>
        <w:t>-</w:t>
      </w:r>
      <w:r w:rsidR="003B2A7A" w:rsidRPr="003B2A7A">
        <w:rPr>
          <w:rFonts w:cs="Royal Arabic"/>
          <w:sz w:val="32"/>
          <w:szCs w:val="32"/>
          <w:rtl/>
        </w:rPr>
        <w:t xml:space="preserve"> على المطالبة بتعويض عن إجراءات قضائية اتُّخذت أثناء مباشرة المحك</w:t>
      </w:r>
      <w:r w:rsidR="003B2A7A">
        <w:rPr>
          <w:rFonts w:cs="Royal Arabic"/>
          <w:sz w:val="32"/>
          <w:szCs w:val="32"/>
          <w:rtl/>
        </w:rPr>
        <w:t>مة المختصة لاختصاصها في التنفيذ</w:t>
      </w:r>
      <w:r w:rsidR="003B2A7A">
        <w:rPr>
          <w:rFonts w:cs="Royal Arabic" w:hint="cs"/>
          <w:sz w:val="32"/>
          <w:szCs w:val="32"/>
          <w:rtl/>
        </w:rPr>
        <w:t xml:space="preserve">، </w:t>
      </w:r>
      <w:r w:rsidR="003B2A7A">
        <w:rPr>
          <w:rFonts w:cs="Royal Arabic"/>
          <w:sz w:val="32"/>
          <w:szCs w:val="32"/>
          <w:rtl/>
        </w:rPr>
        <w:t>والأصل المستقر نظام</w:t>
      </w:r>
      <w:r w:rsidR="003B2A7A">
        <w:rPr>
          <w:rFonts w:cs="Royal Arabic" w:hint="cs"/>
          <w:sz w:val="32"/>
          <w:szCs w:val="32"/>
          <w:rtl/>
        </w:rPr>
        <w:t>اً</w:t>
      </w:r>
      <w:r w:rsidR="003B2A7A" w:rsidRPr="003B2A7A">
        <w:rPr>
          <w:rFonts w:cs="Royal Arabic"/>
          <w:sz w:val="32"/>
          <w:szCs w:val="32"/>
          <w:rtl/>
        </w:rPr>
        <w:t xml:space="preserve"> وقضاءً أن أعمال السلطة القضائية لا تخضع لرقابة الإلغاء أو التعويض أمام القضاء الإداري، ولا تُعد قرارات إدارية بالمعنى النظامي، بما تنتفي معه الولاية القضائية للمحكمة </w:t>
      </w:r>
      <w:r w:rsidR="003B2A7A">
        <w:rPr>
          <w:rFonts w:cs="Royal Arabic"/>
          <w:sz w:val="32"/>
          <w:szCs w:val="32"/>
          <w:rtl/>
        </w:rPr>
        <w:t>الإدارية بنظر دعوى التعويض عنها</w:t>
      </w:r>
      <w:r w:rsidR="003B2A7A">
        <w:rPr>
          <w:rFonts w:cs="Royal Arabic" w:hint="cs"/>
          <w:sz w:val="32"/>
          <w:szCs w:val="32"/>
          <w:rtl/>
        </w:rPr>
        <w:t xml:space="preserve">، </w:t>
      </w:r>
      <w:r w:rsidR="003B2A7A" w:rsidRPr="003B2A7A">
        <w:rPr>
          <w:rFonts w:cs="Royal Arabic"/>
          <w:sz w:val="32"/>
          <w:szCs w:val="32"/>
          <w:rtl/>
        </w:rPr>
        <w:t>وعليه، فإن الدع</w:t>
      </w:r>
      <w:r w:rsidR="003B2A7A">
        <w:rPr>
          <w:rFonts w:cs="Royal Arabic"/>
          <w:sz w:val="32"/>
          <w:szCs w:val="32"/>
          <w:rtl/>
        </w:rPr>
        <w:t xml:space="preserve">وى </w:t>
      </w:r>
      <w:r w:rsidR="003B2A7A">
        <w:rPr>
          <w:rFonts w:cs="Royal Arabic" w:hint="cs"/>
          <w:sz w:val="32"/>
          <w:szCs w:val="32"/>
          <w:rtl/>
        </w:rPr>
        <w:t xml:space="preserve">- </w:t>
      </w:r>
      <w:r w:rsidR="003B2A7A" w:rsidRPr="003B2A7A">
        <w:rPr>
          <w:rFonts w:cs="Royal Arabic"/>
          <w:sz w:val="32"/>
          <w:szCs w:val="32"/>
          <w:rtl/>
        </w:rPr>
        <w:t xml:space="preserve">من حيث ولايتها </w:t>
      </w:r>
      <w:r w:rsidR="003B2A7A">
        <w:rPr>
          <w:rFonts w:cs="Royal Arabic" w:hint="cs"/>
          <w:sz w:val="32"/>
          <w:szCs w:val="32"/>
          <w:rtl/>
        </w:rPr>
        <w:t>-</w:t>
      </w:r>
      <w:r w:rsidR="003B2A7A" w:rsidRPr="003B2A7A">
        <w:rPr>
          <w:rFonts w:cs="Royal Arabic"/>
          <w:sz w:val="32"/>
          <w:szCs w:val="32"/>
          <w:rtl/>
        </w:rPr>
        <w:t xml:space="preserve"> غير منعقدة للمحكمة الإدارية، ويتعين الحكم بعدم الاختصاص الولائي.</w:t>
      </w:r>
    </w:p>
    <w:p w14:paraId="2B86C1BA" w14:textId="2587CF84" w:rsidR="003B2A7A" w:rsidRPr="003B2A7A" w:rsidRDefault="00870ED6" w:rsidP="00870ED6">
      <w:pPr>
        <w:jc w:val="both"/>
        <w:rPr>
          <w:rFonts w:cs="Royal Arabic"/>
          <w:sz w:val="32"/>
          <w:szCs w:val="32"/>
          <w:rtl/>
        </w:rPr>
      </w:pPr>
      <w:r>
        <w:rPr>
          <w:rFonts w:cs="Royal Arabic"/>
          <w:sz w:val="32"/>
          <w:szCs w:val="32"/>
          <w:rtl/>
        </w:rPr>
        <w:tab/>
      </w:r>
      <w:r w:rsidR="003B2A7A" w:rsidRPr="003B2A7A">
        <w:rPr>
          <w:rFonts w:cs="Royal Arabic"/>
          <w:sz w:val="32"/>
          <w:szCs w:val="32"/>
          <w:rtl/>
        </w:rPr>
        <w:t xml:space="preserve">وقد قررت المحكمة الإدارية العليا هذا المبدأ في حكمها الصادر في </w:t>
      </w:r>
      <w:r w:rsidR="003B2A7A">
        <w:rPr>
          <w:rFonts w:cs="Royal Arabic"/>
          <w:sz w:val="32"/>
          <w:szCs w:val="32"/>
          <w:rtl/>
        </w:rPr>
        <w:t>الاعتراض رقم (4303) لعام 1444هـ</w:t>
      </w:r>
      <w:r w:rsidR="003B2A7A" w:rsidRPr="003B2A7A">
        <w:rPr>
          <w:rFonts w:cs="Royal Arabic"/>
          <w:sz w:val="32"/>
          <w:szCs w:val="32"/>
          <w:rtl/>
        </w:rPr>
        <w:t>؛ إذ انتهت إلى أن ما يتخذه القاضي من إجراءات، وما يصدره من أوامر وقرارات وأحكام أثناء مباشرته لولايته القضائية، يدخل في نطاق استقلاله القضائي، ولا ينعقد لمحاكم ديوان المظالم اختصاص ولائي بنظ</w:t>
      </w:r>
      <w:r w:rsidR="003B2A7A">
        <w:rPr>
          <w:rFonts w:cs="Royal Arabic"/>
          <w:sz w:val="32"/>
          <w:szCs w:val="32"/>
          <w:rtl/>
        </w:rPr>
        <w:t>ر دعاوى التعويض عنها</w:t>
      </w:r>
      <w:r>
        <w:rPr>
          <w:rFonts w:cs="Royal Arabic" w:hint="cs"/>
          <w:sz w:val="32"/>
          <w:szCs w:val="32"/>
          <w:rtl/>
        </w:rPr>
        <w:t xml:space="preserve">، </w:t>
      </w:r>
      <w:r w:rsidRPr="00870ED6">
        <w:rPr>
          <w:rFonts w:cs="Royal Arabic" w:hint="cs"/>
          <w:sz w:val="32"/>
          <w:szCs w:val="32"/>
          <w:rtl/>
        </w:rPr>
        <w:t xml:space="preserve">وكذلك صدور مبدأ المحكمة الإدارية العليا بالحكم الصادر في الاعتراض رقم (4303) لعام 1444هـ بتاريخ 7/11/1445هـ، بشأن دعوى التعويض المقامة ضد وزارة العدل بسبب الإجراء الخاطئ الذي قام به قاضي التنفيذ، والذي نص على أن: (المنازعة الماثلة تتعلق بطلب المعترض ضده التعويض عن الإجراء الخاطئ الذي قام به </w:t>
      </w:r>
      <w:r w:rsidRPr="00870ED6">
        <w:rPr>
          <w:rFonts w:cs="Royal Arabic" w:hint="cs"/>
          <w:b/>
          <w:bCs/>
          <w:sz w:val="32"/>
          <w:szCs w:val="32"/>
          <w:rtl/>
        </w:rPr>
        <w:t>قاضي محكمة التنفيذ</w:t>
      </w:r>
      <w:r w:rsidRPr="00870ED6">
        <w:rPr>
          <w:rFonts w:cs="Royal Arabic" w:hint="cs"/>
          <w:sz w:val="32"/>
          <w:szCs w:val="32"/>
          <w:rtl/>
        </w:rPr>
        <w:t xml:space="preserve"> بجده، وحيث إنه ولئن كانت المعترضة تشرف إدارياً ومالياً على محكمة التنفيذ الإداري بجده وفقاً للمادة 71 من نظام القضاء التي تنص على: 1- مع عدم الإخلال بالأحكام المنصوص عليها في هذا النظام، تتولى وزارة العدل الإشراف الإداري والمالي على المحاكم وكتابات العدل، </w:t>
      </w:r>
      <w:r w:rsidRPr="00870ED6">
        <w:rPr>
          <w:rFonts w:cs="Royal Arabic" w:hint="cs"/>
          <w:b/>
          <w:bCs/>
          <w:sz w:val="32"/>
          <w:szCs w:val="32"/>
          <w:rtl/>
        </w:rPr>
        <w:t xml:space="preserve">ولما كان ما يتخذه القاضي من إجراءات وهو بصدد نظره القضائي وما يصدره من أوامر وقرارات وأحكام مما يدخل في ولايته القضائية، </w:t>
      </w:r>
      <w:r w:rsidRPr="00870ED6">
        <w:rPr>
          <w:rFonts w:cs="Royal Arabic" w:hint="cs"/>
          <w:sz w:val="32"/>
          <w:szCs w:val="32"/>
          <w:rtl/>
        </w:rPr>
        <w:t xml:space="preserve">في استقلال تام عن إشراف المعترضة وفقاً للمادة (1) من نظام القضاء التي تنص على أن: القضاة </w:t>
      </w:r>
      <w:r w:rsidRPr="00870ED6">
        <w:rPr>
          <w:rFonts w:cs="Royal Arabic" w:hint="cs"/>
          <w:sz w:val="32"/>
          <w:szCs w:val="32"/>
          <w:rtl/>
        </w:rPr>
        <w:lastRenderedPageBreak/>
        <w:t>مستقلون، لا سلطان عليهم في قضائهم لغير أحكام الشريعة الإسلامية والأنظمة المرعية، وليس لأحد التدخل في القضاء، وحيث نصت المادة 14 من نظام ديوان المظالم على أنه: "لا يجوز لمحاكم ديوان المظالم النظر في الدعاوى المتعلقة بأعمال السيادة، أو النظر في الاعتراضات على ما تصدره المحاكم - غير الخاضعة لهذا النظام - من أحكام داخلة في ولايتها، أو ما يصدره المجلس الأعلى للقضاء ومجلس القضاء الإداري ومجلس النيابة العامة من قرارات." ولما كان الحكم المعترض عليه قد فصل في موضوع الدعوى بالمخالفة لما تقدم؛ فإنه يكون معيباً بالخطأ في تطبيق النظام)</w:t>
      </w:r>
      <w:r w:rsidR="003B2A7A" w:rsidRPr="003B2A7A">
        <w:rPr>
          <w:rFonts w:cs="Royal Arabic"/>
          <w:sz w:val="32"/>
          <w:szCs w:val="32"/>
          <w:rtl/>
        </w:rPr>
        <w:t>.</w:t>
      </w:r>
    </w:p>
    <w:p w14:paraId="61C8AFC0" w14:textId="7158933D" w:rsidR="003B2A7A" w:rsidRPr="003B2A7A" w:rsidRDefault="003B2A7A" w:rsidP="003B2A7A">
      <w:pPr>
        <w:jc w:val="both"/>
        <w:rPr>
          <w:rFonts w:cs="Royal Arabic"/>
          <w:sz w:val="32"/>
          <w:szCs w:val="32"/>
          <w:rtl/>
        </w:rPr>
      </w:pPr>
      <w:r w:rsidRPr="003B2A7A">
        <w:rPr>
          <w:rFonts w:cs="Royal Arabic"/>
          <w:b/>
          <w:bCs/>
          <w:sz w:val="32"/>
          <w:szCs w:val="32"/>
          <w:rtl/>
        </w:rPr>
        <w:t>ثاني</w:t>
      </w:r>
      <w:r w:rsidRPr="003B2A7A">
        <w:rPr>
          <w:rFonts w:cs="Royal Arabic" w:hint="cs"/>
          <w:b/>
          <w:bCs/>
          <w:sz w:val="32"/>
          <w:szCs w:val="32"/>
          <w:rtl/>
        </w:rPr>
        <w:t>اً</w:t>
      </w:r>
      <w:r w:rsidRPr="003B2A7A">
        <w:rPr>
          <w:rFonts w:cs="Royal Arabic"/>
          <w:b/>
          <w:bCs/>
          <w:sz w:val="32"/>
          <w:szCs w:val="32"/>
          <w:rtl/>
        </w:rPr>
        <w:t>:</w:t>
      </w:r>
      <w:r w:rsidRPr="003B2A7A">
        <w:rPr>
          <w:rFonts w:cs="Royal Arabic"/>
          <w:sz w:val="32"/>
          <w:szCs w:val="32"/>
          <w:rtl/>
        </w:rPr>
        <w:t xml:space="preserve"> الدفع بعدم قبول الدعوى لرفعها على غير ذي صفة</w:t>
      </w:r>
      <w:r>
        <w:rPr>
          <w:rFonts w:cs="Royal Arabic" w:hint="cs"/>
          <w:sz w:val="32"/>
          <w:szCs w:val="32"/>
          <w:rtl/>
        </w:rPr>
        <w:t xml:space="preserve">: </w:t>
      </w:r>
    </w:p>
    <w:p w14:paraId="4C504C22" w14:textId="5B427A53" w:rsidR="00300D3A" w:rsidRDefault="00870ED6" w:rsidP="003851F6">
      <w:pPr>
        <w:jc w:val="both"/>
        <w:rPr>
          <w:rFonts w:cs="Royal Arabic"/>
          <w:sz w:val="32"/>
          <w:szCs w:val="32"/>
          <w:rtl/>
        </w:rPr>
      </w:pPr>
      <w:r>
        <w:rPr>
          <w:rFonts w:cs="Royal Arabic"/>
          <w:sz w:val="32"/>
          <w:szCs w:val="32"/>
          <w:rtl/>
        </w:rPr>
        <w:tab/>
      </w:r>
      <w:r w:rsidR="00F154D7" w:rsidRPr="003B2A7A">
        <w:rPr>
          <w:rFonts w:cs="Royal Arabic"/>
          <w:sz w:val="32"/>
          <w:szCs w:val="32"/>
          <w:rtl/>
        </w:rPr>
        <w:t xml:space="preserve">وعلى فرض </w:t>
      </w:r>
      <w:r w:rsidR="00F154D7">
        <w:rPr>
          <w:rFonts w:cs="Royal Arabic"/>
          <w:sz w:val="32"/>
          <w:szCs w:val="32"/>
          <w:rtl/>
        </w:rPr>
        <w:t>تجاوز</w:t>
      </w:r>
      <w:r w:rsidR="00F154D7">
        <w:rPr>
          <w:rFonts w:cs="Royal Arabic" w:hint="cs"/>
          <w:sz w:val="32"/>
          <w:szCs w:val="32"/>
          <w:rtl/>
        </w:rPr>
        <w:t xml:space="preserve"> جميع</w:t>
      </w:r>
      <w:r w:rsidR="00F154D7">
        <w:rPr>
          <w:rFonts w:cs="Royal Arabic"/>
          <w:sz w:val="32"/>
          <w:szCs w:val="32"/>
          <w:rtl/>
        </w:rPr>
        <w:t xml:space="preserve"> ما سبق، فإن</w:t>
      </w:r>
      <w:r w:rsidR="003B2A7A" w:rsidRPr="003B2A7A">
        <w:rPr>
          <w:rFonts w:cs="Royal Arabic"/>
          <w:sz w:val="32"/>
          <w:szCs w:val="32"/>
          <w:rtl/>
        </w:rPr>
        <w:t xml:space="preserve"> الثابت</w:t>
      </w:r>
      <w:r w:rsidR="00BA51D5">
        <w:rPr>
          <w:rFonts w:cs="Royal Arabic"/>
          <w:sz w:val="32"/>
          <w:szCs w:val="32"/>
          <w:rtl/>
        </w:rPr>
        <w:t xml:space="preserve"> أن طلب التنفيذ محل الدعوى قُد</w:t>
      </w:r>
      <w:r w:rsidR="003B2A7A" w:rsidRPr="003B2A7A">
        <w:rPr>
          <w:rFonts w:cs="Royal Arabic"/>
          <w:sz w:val="32"/>
          <w:szCs w:val="32"/>
          <w:rtl/>
        </w:rPr>
        <w:t>م لصالح المركز الوطني للرقاب</w:t>
      </w:r>
      <w:r w:rsidR="00BA51D5">
        <w:rPr>
          <w:rFonts w:cs="Royal Arabic"/>
          <w:sz w:val="32"/>
          <w:szCs w:val="32"/>
          <w:rtl/>
        </w:rPr>
        <w:t>ة على الالتزام البيئي بصفته طال</w:t>
      </w:r>
      <w:r w:rsidR="003B2A7A" w:rsidRPr="003B2A7A">
        <w:rPr>
          <w:rFonts w:cs="Royal Arabic"/>
          <w:sz w:val="32"/>
          <w:szCs w:val="32"/>
          <w:rtl/>
        </w:rPr>
        <w:t>ب التنفيذ، وهو الجهة التي تعود لها المط</w:t>
      </w:r>
      <w:r w:rsidR="00BA51D5">
        <w:rPr>
          <w:rFonts w:cs="Royal Arabic"/>
          <w:sz w:val="32"/>
          <w:szCs w:val="32"/>
          <w:rtl/>
        </w:rPr>
        <w:t>البة بالمبلغ محل السند التنفيذي</w:t>
      </w:r>
      <w:r w:rsidR="00BA51D5">
        <w:rPr>
          <w:rFonts w:cs="Royal Arabic" w:hint="cs"/>
          <w:sz w:val="32"/>
          <w:szCs w:val="32"/>
          <w:rtl/>
        </w:rPr>
        <w:t xml:space="preserve">، </w:t>
      </w:r>
      <w:r w:rsidR="003B2A7A" w:rsidRPr="003B2A7A">
        <w:rPr>
          <w:rFonts w:cs="Royal Arabic"/>
          <w:sz w:val="32"/>
          <w:szCs w:val="32"/>
          <w:rtl/>
        </w:rPr>
        <w:t>أما ديوان المظالم، فلم ي</w:t>
      </w:r>
      <w:r w:rsidR="00BA51D5">
        <w:rPr>
          <w:rFonts w:cs="Royal Arabic"/>
          <w:sz w:val="32"/>
          <w:szCs w:val="32"/>
          <w:rtl/>
        </w:rPr>
        <w:t>كن طرف</w:t>
      </w:r>
      <w:r w:rsidR="00BA51D5">
        <w:rPr>
          <w:rFonts w:cs="Royal Arabic" w:hint="cs"/>
          <w:sz w:val="32"/>
          <w:szCs w:val="32"/>
          <w:rtl/>
        </w:rPr>
        <w:t>اً</w:t>
      </w:r>
      <w:r w:rsidR="003B2A7A" w:rsidRPr="003B2A7A">
        <w:rPr>
          <w:rFonts w:cs="Royal Arabic"/>
          <w:sz w:val="32"/>
          <w:szCs w:val="32"/>
          <w:rtl/>
        </w:rPr>
        <w:t xml:space="preserve"> في طلب التنفيذ، ولم يباشر المطالبة بالمبلغ، ولم ت</w:t>
      </w:r>
      <w:r>
        <w:rPr>
          <w:rFonts w:cs="Royal Arabic" w:hint="cs"/>
          <w:sz w:val="32"/>
          <w:szCs w:val="32"/>
          <w:rtl/>
        </w:rPr>
        <w:t>َ</w:t>
      </w:r>
      <w:r w:rsidR="003B2A7A" w:rsidRPr="003B2A7A">
        <w:rPr>
          <w:rFonts w:cs="Royal Arabic"/>
          <w:sz w:val="32"/>
          <w:szCs w:val="32"/>
          <w:rtl/>
        </w:rPr>
        <w:t>ؤ</w:t>
      </w:r>
      <w:r>
        <w:rPr>
          <w:rFonts w:cs="Royal Arabic" w:hint="cs"/>
          <w:sz w:val="32"/>
          <w:szCs w:val="32"/>
          <w:rtl/>
        </w:rPr>
        <w:t>ُ</w:t>
      </w:r>
      <w:r w:rsidR="003B2A7A" w:rsidRPr="003B2A7A">
        <w:rPr>
          <w:rFonts w:cs="Royal Arabic"/>
          <w:sz w:val="32"/>
          <w:szCs w:val="32"/>
          <w:rtl/>
        </w:rPr>
        <w:t>ل</w:t>
      </w:r>
      <w:r>
        <w:rPr>
          <w:rFonts w:cs="Royal Arabic" w:hint="cs"/>
          <w:sz w:val="32"/>
          <w:szCs w:val="32"/>
          <w:rtl/>
        </w:rPr>
        <w:t>ْ</w:t>
      </w:r>
      <w:r w:rsidR="003B2A7A" w:rsidRPr="003B2A7A">
        <w:rPr>
          <w:rFonts w:cs="Royal Arabic"/>
          <w:sz w:val="32"/>
          <w:szCs w:val="32"/>
          <w:rtl/>
        </w:rPr>
        <w:t xml:space="preserve"> إ</w:t>
      </w:r>
      <w:r w:rsidR="00BA51D5">
        <w:rPr>
          <w:rFonts w:cs="Royal Arabic"/>
          <w:sz w:val="32"/>
          <w:szCs w:val="32"/>
          <w:rtl/>
        </w:rPr>
        <w:t xml:space="preserve">ليه أي مبالغ، وإنما اقتصر دوره </w:t>
      </w:r>
      <w:r w:rsidR="00BA51D5">
        <w:rPr>
          <w:rFonts w:cs="Royal Arabic" w:hint="cs"/>
          <w:sz w:val="32"/>
          <w:szCs w:val="32"/>
          <w:rtl/>
        </w:rPr>
        <w:t>-</w:t>
      </w:r>
      <w:r w:rsidR="00BA51D5">
        <w:rPr>
          <w:rFonts w:cs="Royal Arabic"/>
          <w:sz w:val="32"/>
          <w:szCs w:val="32"/>
          <w:rtl/>
        </w:rPr>
        <w:t xml:space="preserve"> بوصفه جهة قضاء </w:t>
      </w:r>
      <w:r w:rsidR="00BA51D5">
        <w:rPr>
          <w:rFonts w:cs="Royal Arabic" w:hint="cs"/>
          <w:sz w:val="32"/>
          <w:szCs w:val="32"/>
          <w:rtl/>
        </w:rPr>
        <w:t>-</w:t>
      </w:r>
      <w:r w:rsidR="003B2A7A" w:rsidRPr="003B2A7A">
        <w:rPr>
          <w:rFonts w:cs="Royal Arabic"/>
          <w:sz w:val="32"/>
          <w:szCs w:val="32"/>
          <w:rtl/>
        </w:rPr>
        <w:t xml:space="preserve"> على مباشرة الإجراءات القضائية وفق اختصاصه، دون </w:t>
      </w:r>
      <w:r w:rsidR="00BA51D5">
        <w:rPr>
          <w:rFonts w:cs="Royal Arabic"/>
          <w:sz w:val="32"/>
          <w:szCs w:val="32"/>
          <w:rtl/>
        </w:rPr>
        <w:t>صفة له في المطالبة أو الاستيفاء</w:t>
      </w:r>
      <w:r w:rsidR="00BA51D5">
        <w:rPr>
          <w:rFonts w:cs="Royal Arabic" w:hint="cs"/>
          <w:sz w:val="32"/>
          <w:szCs w:val="32"/>
          <w:rtl/>
        </w:rPr>
        <w:t xml:space="preserve">، </w:t>
      </w:r>
      <w:r w:rsidR="00BA51D5">
        <w:rPr>
          <w:rFonts w:cs="Royal Arabic"/>
          <w:sz w:val="32"/>
          <w:szCs w:val="32"/>
          <w:rtl/>
        </w:rPr>
        <w:t>ومتى كانت الخصومة لا تُوج</w:t>
      </w:r>
      <w:r w:rsidR="003B2A7A" w:rsidRPr="003B2A7A">
        <w:rPr>
          <w:rFonts w:cs="Royal Arabic"/>
          <w:sz w:val="32"/>
          <w:szCs w:val="32"/>
          <w:rtl/>
        </w:rPr>
        <w:t>ه إلا إلى ذي صفة، فإن اختصام ا</w:t>
      </w:r>
      <w:r w:rsidR="00BA51D5">
        <w:rPr>
          <w:rFonts w:cs="Royal Arabic"/>
          <w:sz w:val="32"/>
          <w:szCs w:val="32"/>
          <w:rtl/>
        </w:rPr>
        <w:t>لديوان في هذه الدعوى يكون واقع</w:t>
      </w:r>
      <w:r w:rsidR="00BA51D5">
        <w:rPr>
          <w:rFonts w:cs="Royal Arabic" w:hint="cs"/>
          <w:sz w:val="32"/>
          <w:szCs w:val="32"/>
          <w:rtl/>
        </w:rPr>
        <w:t>اً</w:t>
      </w:r>
      <w:r w:rsidR="003851F6">
        <w:rPr>
          <w:rFonts w:cs="Royal Arabic"/>
          <w:sz w:val="32"/>
          <w:szCs w:val="32"/>
          <w:rtl/>
        </w:rPr>
        <w:t xml:space="preserve"> على غير ذي صفة</w:t>
      </w:r>
      <w:r w:rsidR="003B2A7A" w:rsidRPr="003B2A7A">
        <w:rPr>
          <w:rFonts w:cs="Royal Arabic"/>
          <w:sz w:val="32"/>
          <w:szCs w:val="32"/>
          <w:rtl/>
        </w:rPr>
        <w:t>.</w:t>
      </w:r>
    </w:p>
    <w:p w14:paraId="15219E09" w14:textId="30F593FE" w:rsidR="00F850CD" w:rsidRDefault="00F850CD" w:rsidP="003851F6">
      <w:pPr>
        <w:jc w:val="both"/>
        <w:rPr>
          <w:rFonts w:cs="Royal Arabic"/>
          <w:sz w:val="32"/>
          <w:szCs w:val="32"/>
          <w:rtl/>
        </w:rPr>
      </w:pPr>
      <w:r w:rsidRPr="00216318">
        <w:rPr>
          <w:rFonts w:cs="Royal Arabic" w:hint="cs"/>
          <w:b/>
          <w:bCs/>
          <w:sz w:val="32"/>
          <w:szCs w:val="32"/>
          <w:rtl/>
        </w:rPr>
        <w:t>ثالثاً</w:t>
      </w:r>
      <w:r>
        <w:rPr>
          <w:rFonts w:cs="Royal Arabic" w:hint="cs"/>
          <w:sz w:val="32"/>
          <w:szCs w:val="32"/>
          <w:rtl/>
        </w:rPr>
        <w:t xml:space="preserve">: عدم صحة ما </w:t>
      </w:r>
      <w:bookmarkStart w:id="0" w:name="_GoBack"/>
      <w:bookmarkEnd w:id="0"/>
      <w:r>
        <w:rPr>
          <w:rFonts w:cs="Royal Arabic" w:hint="cs"/>
          <w:sz w:val="32"/>
          <w:szCs w:val="32"/>
          <w:rtl/>
        </w:rPr>
        <w:t>ورد في صحيفة الدعوى:</w:t>
      </w:r>
    </w:p>
    <w:p w14:paraId="532797C0" w14:textId="0AFF685D" w:rsidR="00F850CD" w:rsidRPr="003B2A7A" w:rsidRDefault="00F850CD" w:rsidP="00EA03AB">
      <w:pPr>
        <w:jc w:val="both"/>
        <w:rPr>
          <w:rFonts w:cs="Royal Arabic"/>
          <w:sz w:val="32"/>
          <w:szCs w:val="32"/>
          <w:rtl/>
        </w:rPr>
      </w:pPr>
      <w:r>
        <w:rPr>
          <w:rFonts w:cs="Royal Arabic"/>
          <w:sz w:val="32"/>
          <w:szCs w:val="32"/>
          <w:rtl/>
        </w:rPr>
        <w:tab/>
      </w:r>
      <w:r>
        <w:rPr>
          <w:rFonts w:cs="Royal Arabic" w:hint="cs"/>
          <w:sz w:val="32"/>
          <w:szCs w:val="32"/>
          <w:rtl/>
        </w:rPr>
        <w:t>و</w:t>
      </w:r>
      <w:r w:rsidR="00EA03AB">
        <w:rPr>
          <w:rFonts w:cs="Royal Arabic" w:hint="cs"/>
          <w:sz w:val="32"/>
          <w:szCs w:val="32"/>
          <w:rtl/>
        </w:rPr>
        <w:t>م</w:t>
      </w:r>
      <w:r>
        <w:rPr>
          <w:rFonts w:cs="Royal Arabic" w:hint="cs"/>
          <w:sz w:val="32"/>
          <w:szCs w:val="32"/>
          <w:rtl/>
        </w:rPr>
        <w:t>ع كل ما سبق، فإن ما ورد بصحيفة الدعوى</w:t>
      </w:r>
      <w:r w:rsidR="00EA03AB">
        <w:rPr>
          <w:rFonts w:cs="Royal Arabic" w:hint="cs"/>
          <w:sz w:val="32"/>
          <w:szCs w:val="32"/>
          <w:rtl/>
        </w:rPr>
        <w:t xml:space="preserve"> لا يُثبت </w:t>
      </w:r>
      <w:r w:rsidR="00EA03AB" w:rsidRPr="00EA03AB">
        <w:rPr>
          <w:rFonts w:cs="Royal Arabic"/>
          <w:sz w:val="32"/>
          <w:szCs w:val="32"/>
          <w:rtl/>
        </w:rPr>
        <w:t>وجو</w:t>
      </w:r>
      <w:r w:rsidR="00EA03AB">
        <w:rPr>
          <w:rFonts w:cs="Royal Arabic"/>
          <w:sz w:val="32"/>
          <w:szCs w:val="32"/>
          <w:rtl/>
        </w:rPr>
        <w:t>د خلل أو خطأ في إجراءات المحكمة</w:t>
      </w:r>
      <w:r w:rsidR="00EA03AB">
        <w:rPr>
          <w:rFonts w:cs="Royal Arabic" w:hint="cs"/>
          <w:sz w:val="32"/>
          <w:szCs w:val="32"/>
          <w:rtl/>
        </w:rPr>
        <w:t>؛ ذلك</w:t>
      </w:r>
      <w:r>
        <w:rPr>
          <w:rFonts w:cs="Royal Arabic" w:hint="cs"/>
          <w:sz w:val="32"/>
          <w:szCs w:val="32"/>
          <w:rtl/>
        </w:rPr>
        <w:t xml:space="preserve"> </w:t>
      </w:r>
      <w:r w:rsidRPr="00F850CD">
        <w:rPr>
          <w:rFonts w:cs="Royal Arabic"/>
          <w:sz w:val="32"/>
          <w:szCs w:val="32"/>
          <w:rtl/>
        </w:rPr>
        <w:t>أن المبلغ الوار</w:t>
      </w:r>
      <w:r w:rsidR="00EA03AB">
        <w:rPr>
          <w:rFonts w:cs="Royal Arabic"/>
          <w:sz w:val="32"/>
          <w:szCs w:val="32"/>
          <w:rtl/>
        </w:rPr>
        <w:t xml:space="preserve">د لحساب المحكمة </w:t>
      </w:r>
      <w:r w:rsidR="00EA03AB">
        <w:rPr>
          <w:rFonts w:cs="Royal Arabic" w:hint="cs"/>
          <w:sz w:val="32"/>
          <w:szCs w:val="32"/>
          <w:rtl/>
        </w:rPr>
        <w:t xml:space="preserve">إنما كان </w:t>
      </w:r>
      <w:r w:rsidR="00EA03AB">
        <w:rPr>
          <w:rFonts w:cs="Royal Arabic"/>
          <w:sz w:val="32"/>
          <w:szCs w:val="32"/>
          <w:rtl/>
        </w:rPr>
        <w:t>من حساب مصرف ال</w:t>
      </w:r>
      <w:r w:rsidR="00EA03AB">
        <w:rPr>
          <w:rFonts w:cs="Royal Arabic" w:hint="cs"/>
          <w:sz w:val="32"/>
          <w:szCs w:val="32"/>
          <w:rtl/>
        </w:rPr>
        <w:t>إ</w:t>
      </w:r>
      <w:r w:rsidRPr="00F850CD">
        <w:rPr>
          <w:rFonts w:cs="Royal Arabic"/>
          <w:sz w:val="32"/>
          <w:szCs w:val="32"/>
          <w:rtl/>
        </w:rPr>
        <w:t>نماء</w:t>
      </w:r>
      <w:r w:rsidR="00EA03AB">
        <w:rPr>
          <w:rFonts w:cs="Royal Arabic" w:hint="cs"/>
          <w:sz w:val="32"/>
          <w:szCs w:val="32"/>
          <w:rtl/>
        </w:rPr>
        <w:t xml:space="preserve"> فقط،</w:t>
      </w:r>
      <w:r w:rsidRPr="00F850CD">
        <w:rPr>
          <w:rFonts w:cs="Royal Arabic"/>
          <w:sz w:val="32"/>
          <w:szCs w:val="32"/>
          <w:rtl/>
        </w:rPr>
        <w:t xml:space="preserve"> </w:t>
      </w:r>
      <w:r w:rsidR="00EA03AB">
        <w:rPr>
          <w:rFonts w:cs="Royal Arabic" w:hint="cs"/>
          <w:sz w:val="32"/>
          <w:szCs w:val="32"/>
          <w:rtl/>
        </w:rPr>
        <w:t>أ</w:t>
      </w:r>
      <w:r w:rsidRPr="00F850CD">
        <w:rPr>
          <w:rFonts w:cs="Royal Arabic"/>
          <w:sz w:val="32"/>
          <w:szCs w:val="32"/>
          <w:rtl/>
        </w:rPr>
        <w:t>ما ما أورد</w:t>
      </w:r>
      <w:r w:rsidR="00EA03AB">
        <w:rPr>
          <w:rFonts w:cs="Royal Arabic" w:hint="cs"/>
          <w:sz w:val="32"/>
          <w:szCs w:val="32"/>
          <w:rtl/>
        </w:rPr>
        <w:t>َتْ</w:t>
      </w:r>
      <w:r w:rsidRPr="00F850CD">
        <w:rPr>
          <w:rFonts w:cs="Royal Arabic"/>
          <w:sz w:val="32"/>
          <w:szCs w:val="32"/>
          <w:rtl/>
        </w:rPr>
        <w:t>ه وكيل</w:t>
      </w:r>
      <w:r w:rsidR="00EA03AB">
        <w:rPr>
          <w:rFonts w:cs="Royal Arabic" w:hint="cs"/>
          <w:sz w:val="32"/>
          <w:szCs w:val="32"/>
          <w:rtl/>
        </w:rPr>
        <w:t>ة</w:t>
      </w:r>
      <w:r w:rsidRPr="00F850CD">
        <w:rPr>
          <w:rFonts w:cs="Royal Arabic"/>
          <w:sz w:val="32"/>
          <w:szCs w:val="32"/>
          <w:rtl/>
        </w:rPr>
        <w:t xml:space="preserve"> المدعي من عملية السحب من حساب موكله</w:t>
      </w:r>
      <w:r w:rsidR="00EA03AB">
        <w:rPr>
          <w:rFonts w:cs="Royal Arabic" w:hint="cs"/>
          <w:sz w:val="32"/>
          <w:szCs w:val="32"/>
          <w:rtl/>
        </w:rPr>
        <w:t>ا</w:t>
      </w:r>
      <w:r w:rsidRPr="00F850CD">
        <w:rPr>
          <w:rFonts w:cs="Royal Arabic"/>
          <w:sz w:val="32"/>
          <w:szCs w:val="32"/>
          <w:rtl/>
        </w:rPr>
        <w:t xml:space="preserve"> بمصرف الراجحي</w:t>
      </w:r>
      <w:r w:rsidR="00EA03AB">
        <w:rPr>
          <w:rFonts w:cs="Royal Arabic" w:hint="cs"/>
          <w:sz w:val="32"/>
          <w:szCs w:val="32"/>
          <w:rtl/>
        </w:rPr>
        <w:t>؛</w:t>
      </w:r>
      <w:r w:rsidR="00EA03AB">
        <w:rPr>
          <w:rFonts w:cs="Royal Arabic"/>
          <w:sz w:val="32"/>
          <w:szCs w:val="32"/>
          <w:rtl/>
        </w:rPr>
        <w:t xml:space="preserve"> فهو ناتج عن أمر الدائرة بالحجز</w:t>
      </w:r>
      <w:r w:rsidR="00EA03AB">
        <w:rPr>
          <w:rFonts w:cs="Royal Arabic" w:hint="cs"/>
          <w:sz w:val="32"/>
          <w:szCs w:val="32"/>
          <w:rtl/>
        </w:rPr>
        <w:t>، ولم يُحَوَّلْ منه شيء إلى حساب المحكمة،</w:t>
      </w:r>
      <w:r w:rsidRPr="00F850CD">
        <w:rPr>
          <w:rFonts w:cs="Royal Arabic" w:hint="cs"/>
          <w:sz w:val="32"/>
          <w:szCs w:val="32"/>
          <w:rtl/>
        </w:rPr>
        <w:t> </w:t>
      </w:r>
      <w:r w:rsidRPr="00EA03AB">
        <w:rPr>
          <w:rFonts w:cs="Royal Arabic"/>
          <w:b/>
          <w:bCs/>
          <w:sz w:val="32"/>
          <w:szCs w:val="32"/>
          <w:rtl/>
        </w:rPr>
        <w:t xml:space="preserve">وتم </w:t>
      </w:r>
      <w:r w:rsidR="00EA03AB" w:rsidRPr="00EA03AB">
        <w:rPr>
          <w:rFonts w:cs="Royal Arabic" w:hint="cs"/>
          <w:b/>
          <w:bCs/>
          <w:sz w:val="32"/>
          <w:szCs w:val="32"/>
          <w:rtl/>
        </w:rPr>
        <w:t>إ</w:t>
      </w:r>
      <w:r w:rsidRPr="00EA03AB">
        <w:rPr>
          <w:rFonts w:cs="Royal Arabic"/>
          <w:b/>
          <w:bCs/>
          <w:sz w:val="32"/>
          <w:szCs w:val="32"/>
          <w:rtl/>
        </w:rPr>
        <w:t>لغاء الحجز</w:t>
      </w:r>
      <w:r w:rsidR="00EA03AB">
        <w:rPr>
          <w:rFonts w:cs="Royal Arabic" w:hint="cs"/>
          <w:sz w:val="32"/>
          <w:szCs w:val="32"/>
          <w:rtl/>
        </w:rPr>
        <w:t>،</w:t>
      </w:r>
      <w:r w:rsidRPr="00F850CD">
        <w:rPr>
          <w:rFonts w:cs="Royal Arabic"/>
          <w:sz w:val="32"/>
          <w:szCs w:val="32"/>
          <w:rtl/>
        </w:rPr>
        <w:t xml:space="preserve"> وعليه</w:t>
      </w:r>
      <w:r w:rsidR="00EA03AB">
        <w:rPr>
          <w:rFonts w:cs="Royal Arabic" w:hint="cs"/>
          <w:sz w:val="32"/>
          <w:szCs w:val="32"/>
          <w:rtl/>
        </w:rPr>
        <w:t>؛</w:t>
      </w:r>
      <w:r w:rsidRPr="00F850CD">
        <w:rPr>
          <w:rFonts w:cs="Royal Arabic"/>
          <w:sz w:val="32"/>
          <w:szCs w:val="32"/>
          <w:rtl/>
        </w:rPr>
        <w:t xml:space="preserve"> يتضح</w:t>
      </w:r>
      <w:r w:rsidR="00EA03AB">
        <w:rPr>
          <w:rFonts w:cs="Royal Arabic" w:hint="cs"/>
          <w:sz w:val="32"/>
          <w:szCs w:val="32"/>
          <w:rtl/>
        </w:rPr>
        <w:t xml:space="preserve"> عدم وجود</w:t>
      </w:r>
      <w:r w:rsidRPr="00F850CD">
        <w:rPr>
          <w:rFonts w:cs="Royal Arabic"/>
          <w:sz w:val="32"/>
          <w:szCs w:val="32"/>
          <w:rtl/>
        </w:rPr>
        <w:t xml:space="preserve"> أي خلل بالطلب </w:t>
      </w:r>
      <w:r w:rsidR="00EA03AB">
        <w:rPr>
          <w:rFonts w:cs="Royal Arabic" w:hint="cs"/>
          <w:sz w:val="32"/>
          <w:szCs w:val="32"/>
          <w:rtl/>
        </w:rPr>
        <w:t>أ</w:t>
      </w:r>
      <w:r w:rsidR="00EA03AB">
        <w:rPr>
          <w:rFonts w:cs="Royal Arabic"/>
          <w:sz w:val="32"/>
          <w:szCs w:val="32"/>
          <w:rtl/>
        </w:rPr>
        <w:t>و مبالغ مسحوب</w:t>
      </w:r>
      <w:r w:rsidR="00EA03AB">
        <w:rPr>
          <w:rFonts w:cs="Royal Arabic" w:hint="cs"/>
          <w:sz w:val="32"/>
          <w:szCs w:val="32"/>
          <w:rtl/>
        </w:rPr>
        <w:t xml:space="preserve">ة، ما ينفي صحة الدعوى. </w:t>
      </w:r>
    </w:p>
    <w:p w14:paraId="310E55DC" w14:textId="77777777" w:rsidR="003B2A7A" w:rsidRPr="003B2A7A" w:rsidRDefault="003B2A7A" w:rsidP="00300D3A">
      <w:pPr>
        <w:jc w:val="center"/>
        <w:rPr>
          <w:rFonts w:cs="Royal Arabic"/>
          <w:sz w:val="32"/>
          <w:szCs w:val="32"/>
          <w:rtl/>
        </w:rPr>
      </w:pPr>
      <w:r w:rsidRPr="003B2A7A">
        <w:rPr>
          <w:rFonts w:cs="Royal Arabic"/>
          <w:sz w:val="32"/>
          <w:szCs w:val="32"/>
          <w:rtl/>
        </w:rPr>
        <w:t>الطلبات</w:t>
      </w:r>
    </w:p>
    <w:p w14:paraId="490AF4B7" w14:textId="777EB9CB" w:rsidR="003B2A7A" w:rsidRPr="003B2A7A" w:rsidRDefault="003B2A7A" w:rsidP="00870ED6">
      <w:pPr>
        <w:jc w:val="both"/>
        <w:rPr>
          <w:rFonts w:cs="Royal Arabic"/>
          <w:sz w:val="32"/>
          <w:szCs w:val="32"/>
          <w:rtl/>
        </w:rPr>
      </w:pPr>
      <w:r w:rsidRPr="003B2A7A">
        <w:rPr>
          <w:rFonts w:cs="Royal Arabic"/>
          <w:sz w:val="32"/>
          <w:szCs w:val="32"/>
          <w:rtl/>
        </w:rPr>
        <w:t>لذلك</w:t>
      </w:r>
      <w:r w:rsidR="00870ED6">
        <w:rPr>
          <w:rFonts w:cs="Royal Arabic" w:hint="cs"/>
          <w:sz w:val="32"/>
          <w:szCs w:val="32"/>
          <w:rtl/>
        </w:rPr>
        <w:t>؛</w:t>
      </w:r>
      <w:r w:rsidRPr="003B2A7A">
        <w:rPr>
          <w:rFonts w:cs="Royal Arabic"/>
          <w:sz w:val="32"/>
          <w:szCs w:val="32"/>
          <w:rtl/>
        </w:rPr>
        <w:t xml:space="preserve"> يلتمس ديوان المظالم من فضيلتكم الحكم بما يلي:</w:t>
      </w:r>
    </w:p>
    <w:p w14:paraId="445AE034" w14:textId="1951AF82" w:rsidR="003B2A7A" w:rsidRPr="003B2A7A" w:rsidRDefault="00BA51D5" w:rsidP="003B2A7A">
      <w:pPr>
        <w:jc w:val="both"/>
        <w:rPr>
          <w:rFonts w:cs="Royal Arabic"/>
          <w:sz w:val="32"/>
          <w:szCs w:val="32"/>
          <w:rtl/>
        </w:rPr>
      </w:pPr>
      <w:r>
        <w:rPr>
          <w:rFonts w:cs="Royal Arabic" w:hint="cs"/>
          <w:sz w:val="32"/>
          <w:szCs w:val="32"/>
          <w:rtl/>
        </w:rPr>
        <w:t xml:space="preserve">أساسياً: </w:t>
      </w:r>
      <w:r w:rsidR="003B2A7A" w:rsidRPr="003B2A7A">
        <w:rPr>
          <w:rFonts w:cs="Royal Arabic"/>
          <w:sz w:val="32"/>
          <w:szCs w:val="32"/>
          <w:rtl/>
        </w:rPr>
        <w:t>عدم اختصاص المحكمة الإدارية بنظر الدعوى.</w:t>
      </w:r>
    </w:p>
    <w:p w14:paraId="6FC6610F" w14:textId="77777777" w:rsidR="00EA03AB" w:rsidRDefault="00BA51D5" w:rsidP="00EA03AB">
      <w:pPr>
        <w:jc w:val="both"/>
        <w:rPr>
          <w:rFonts w:cs="Royal Arabic"/>
          <w:sz w:val="32"/>
          <w:szCs w:val="32"/>
          <w:rtl/>
        </w:rPr>
      </w:pPr>
      <w:r>
        <w:rPr>
          <w:rFonts w:cs="Royal Arabic" w:hint="cs"/>
          <w:sz w:val="32"/>
          <w:szCs w:val="32"/>
          <w:rtl/>
        </w:rPr>
        <w:t xml:space="preserve">احتياطياً: </w:t>
      </w:r>
      <w:r w:rsidR="003B2A7A" w:rsidRPr="003B2A7A">
        <w:rPr>
          <w:rFonts w:cs="Royal Arabic"/>
          <w:sz w:val="32"/>
          <w:szCs w:val="32"/>
          <w:rtl/>
        </w:rPr>
        <w:t>عدم قبول الدعوى لرفعها على غير ذي صفة.</w:t>
      </w:r>
      <w:r w:rsidR="00EA03AB">
        <w:rPr>
          <w:rFonts w:cs="Royal Arabic" w:hint="cs"/>
          <w:sz w:val="32"/>
          <w:szCs w:val="32"/>
          <w:rtl/>
        </w:rPr>
        <w:t xml:space="preserve"> </w:t>
      </w:r>
    </w:p>
    <w:p w14:paraId="6ACFCA0D" w14:textId="7AFEB0D4" w:rsidR="00AB019B" w:rsidRDefault="00EA03AB" w:rsidP="00EA03AB">
      <w:pPr>
        <w:jc w:val="both"/>
        <w:rPr>
          <w:rFonts w:cs="Royal Arabic"/>
          <w:sz w:val="32"/>
          <w:szCs w:val="32"/>
          <w:rtl/>
        </w:rPr>
      </w:pPr>
      <w:r>
        <w:rPr>
          <w:rFonts w:cs="Royal Arabic" w:hint="cs"/>
          <w:sz w:val="32"/>
          <w:szCs w:val="32"/>
          <w:rtl/>
        </w:rPr>
        <w:t>واحتياطياً ثانياً: رفض الدعوى.</w:t>
      </w:r>
    </w:p>
    <w:p w14:paraId="36815DEF" w14:textId="69286898" w:rsidR="00300D3A" w:rsidRPr="00D218CA" w:rsidRDefault="00300D3A" w:rsidP="00300D3A">
      <w:pPr>
        <w:spacing w:before="240"/>
        <w:ind w:left="-908"/>
        <w:jc w:val="center"/>
        <w:rPr>
          <w:rFonts w:cs="Royal Arabic"/>
          <w:b/>
          <w:bCs/>
          <w:color w:val="222222"/>
          <w:sz w:val="34"/>
          <w:szCs w:val="34"/>
          <w:shd w:val="clear" w:color="auto" w:fill="FFFFFF"/>
          <w:rtl/>
        </w:rPr>
      </w:pPr>
      <w:r>
        <w:rPr>
          <w:rFonts w:cs="Royal Arabic" w:hint="cs"/>
          <w:b/>
          <w:bCs/>
          <w:color w:val="222222"/>
          <w:sz w:val="34"/>
          <w:szCs w:val="34"/>
          <w:shd w:val="clear" w:color="auto" w:fill="FFFFFF"/>
          <w:rtl/>
        </w:rPr>
        <w:lastRenderedPageBreak/>
        <w:t xml:space="preserve">                                                                                     </w:t>
      </w:r>
      <w:r w:rsidRPr="00C93A7A">
        <w:rPr>
          <w:rFonts w:cs="Royal Arabic" w:hint="cs"/>
          <w:b/>
          <w:bCs/>
          <w:color w:val="222222"/>
          <w:sz w:val="34"/>
          <w:szCs w:val="34"/>
          <w:shd w:val="clear" w:color="auto" w:fill="FFFFFF"/>
          <w:rtl/>
        </w:rPr>
        <w:t>ممثل ديوان المظالم</w:t>
      </w:r>
    </w:p>
    <w:p w14:paraId="1BFD6C8C" w14:textId="72CCF80E" w:rsidR="00300D3A" w:rsidRPr="00C93A7A" w:rsidRDefault="00300D3A" w:rsidP="00300D3A">
      <w:pPr>
        <w:spacing w:before="240"/>
        <w:ind w:left="-908"/>
        <w:jc w:val="center"/>
        <w:rPr>
          <w:rFonts w:cs="Royal Arabic"/>
          <w:color w:val="222222"/>
          <w:sz w:val="34"/>
          <w:szCs w:val="34"/>
          <w:shd w:val="clear" w:color="auto" w:fill="FFFFFF"/>
        </w:rPr>
      </w:pPr>
      <w:r>
        <w:rPr>
          <w:rFonts w:cs="Royal Arabic" w:hint="cs"/>
          <w:b/>
          <w:bCs/>
          <w:color w:val="222222"/>
          <w:sz w:val="34"/>
          <w:szCs w:val="34"/>
          <w:shd w:val="clear" w:color="auto" w:fill="FFFFFF"/>
          <w:rtl/>
        </w:rPr>
        <w:t xml:space="preserve">                                                                                   طلال بن منصور الحصيني </w:t>
      </w:r>
    </w:p>
    <w:p w14:paraId="29EE500A" w14:textId="77777777" w:rsidR="00300D3A" w:rsidRPr="00300D3A" w:rsidRDefault="00300D3A" w:rsidP="00BA51D5">
      <w:pPr>
        <w:jc w:val="both"/>
        <w:rPr>
          <w:rFonts w:cs="Royal Arabic"/>
          <w:sz w:val="32"/>
          <w:szCs w:val="32"/>
        </w:rPr>
      </w:pPr>
    </w:p>
    <w:sectPr w:rsidR="00300D3A" w:rsidRPr="00300D3A" w:rsidSect="009D1B13">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yal Arabic">
    <w:panose1 w:val="00000000000000000000"/>
    <w:charset w:val="B2"/>
    <w:family w:val="auto"/>
    <w:pitch w:val="variable"/>
    <w:sig w:usb0="00002001" w:usb1="00000000" w:usb2="00000000" w:usb3="00000000" w:csb0="0000004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7211"/>
    <w:rsid w:val="000A509D"/>
    <w:rsid w:val="00107211"/>
    <w:rsid w:val="0014743C"/>
    <w:rsid w:val="001A1F2B"/>
    <w:rsid w:val="001A6007"/>
    <w:rsid w:val="00216318"/>
    <w:rsid w:val="00240DC3"/>
    <w:rsid w:val="00255A2E"/>
    <w:rsid w:val="002F6F45"/>
    <w:rsid w:val="00300D3A"/>
    <w:rsid w:val="00372D5D"/>
    <w:rsid w:val="003851F6"/>
    <w:rsid w:val="003B2A7A"/>
    <w:rsid w:val="004365DA"/>
    <w:rsid w:val="004572DB"/>
    <w:rsid w:val="00470694"/>
    <w:rsid w:val="005F73DD"/>
    <w:rsid w:val="00640DAE"/>
    <w:rsid w:val="006B418A"/>
    <w:rsid w:val="00766396"/>
    <w:rsid w:val="007C55A3"/>
    <w:rsid w:val="007D263E"/>
    <w:rsid w:val="00870ED6"/>
    <w:rsid w:val="009219CA"/>
    <w:rsid w:val="00960281"/>
    <w:rsid w:val="009D1B13"/>
    <w:rsid w:val="009D3183"/>
    <w:rsid w:val="00A91C2A"/>
    <w:rsid w:val="00AB019B"/>
    <w:rsid w:val="00AC6C63"/>
    <w:rsid w:val="00AD3353"/>
    <w:rsid w:val="00B60280"/>
    <w:rsid w:val="00B7428D"/>
    <w:rsid w:val="00BA51D5"/>
    <w:rsid w:val="00BF1007"/>
    <w:rsid w:val="00C27FA5"/>
    <w:rsid w:val="00D07D6C"/>
    <w:rsid w:val="00D36868"/>
    <w:rsid w:val="00D36AED"/>
    <w:rsid w:val="00D41730"/>
    <w:rsid w:val="00DC0395"/>
    <w:rsid w:val="00EA03AB"/>
    <w:rsid w:val="00ED6484"/>
    <w:rsid w:val="00F154D7"/>
    <w:rsid w:val="00F207A2"/>
    <w:rsid w:val="00F850C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B3D96"/>
  <w15:chartTrackingRefBased/>
  <w15:docId w15:val="{FBBAA48E-185B-45BC-A66C-42E802600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bidi/>
    </w:pPr>
  </w:style>
  <w:style w:type="paragraph" w:styleId="1">
    <w:name w:val="heading 1"/>
    <w:basedOn w:val="a"/>
    <w:next w:val="a"/>
    <w:link w:val="1Char"/>
    <w:uiPriority w:val="9"/>
    <w:qFormat/>
    <w:rsid w:val="001072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1072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107211"/>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107211"/>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107211"/>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10721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10721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10721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10721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107211"/>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107211"/>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107211"/>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107211"/>
    <w:rPr>
      <w:rFonts w:eastAsiaTheme="majorEastAsia" w:cstheme="majorBidi"/>
      <w:i/>
      <w:iCs/>
      <w:color w:val="2F5496" w:themeColor="accent1" w:themeShade="BF"/>
    </w:rPr>
  </w:style>
  <w:style w:type="character" w:customStyle="1" w:styleId="5Char">
    <w:name w:val="عنوان 5 Char"/>
    <w:basedOn w:val="a0"/>
    <w:link w:val="5"/>
    <w:uiPriority w:val="9"/>
    <w:semiHidden/>
    <w:rsid w:val="00107211"/>
    <w:rPr>
      <w:rFonts w:eastAsiaTheme="majorEastAsia" w:cstheme="majorBidi"/>
      <w:color w:val="2F5496" w:themeColor="accent1" w:themeShade="BF"/>
    </w:rPr>
  </w:style>
  <w:style w:type="character" w:customStyle="1" w:styleId="6Char">
    <w:name w:val="عنوان 6 Char"/>
    <w:basedOn w:val="a0"/>
    <w:link w:val="6"/>
    <w:uiPriority w:val="9"/>
    <w:semiHidden/>
    <w:rsid w:val="00107211"/>
    <w:rPr>
      <w:rFonts w:eastAsiaTheme="majorEastAsia" w:cstheme="majorBidi"/>
      <w:i/>
      <w:iCs/>
      <w:color w:val="595959" w:themeColor="text1" w:themeTint="A6"/>
    </w:rPr>
  </w:style>
  <w:style w:type="character" w:customStyle="1" w:styleId="7Char">
    <w:name w:val="عنوان 7 Char"/>
    <w:basedOn w:val="a0"/>
    <w:link w:val="7"/>
    <w:uiPriority w:val="9"/>
    <w:semiHidden/>
    <w:rsid w:val="00107211"/>
    <w:rPr>
      <w:rFonts w:eastAsiaTheme="majorEastAsia" w:cstheme="majorBidi"/>
      <w:color w:val="595959" w:themeColor="text1" w:themeTint="A6"/>
    </w:rPr>
  </w:style>
  <w:style w:type="character" w:customStyle="1" w:styleId="8Char">
    <w:name w:val="عنوان 8 Char"/>
    <w:basedOn w:val="a0"/>
    <w:link w:val="8"/>
    <w:uiPriority w:val="9"/>
    <w:semiHidden/>
    <w:rsid w:val="00107211"/>
    <w:rPr>
      <w:rFonts w:eastAsiaTheme="majorEastAsia" w:cstheme="majorBidi"/>
      <w:i/>
      <w:iCs/>
      <w:color w:val="272727" w:themeColor="text1" w:themeTint="D8"/>
    </w:rPr>
  </w:style>
  <w:style w:type="character" w:customStyle="1" w:styleId="9Char">
    <w:name w:val="عنوان 9 Char"/>
    <w:basedOn w:val="a0"/>
    <w:link w:val="9"/>
    <w:uiPriority w:val="9"/>
    <w:semiHidden/>
    <w:rsid w:val="00107211"/>
    <w:rPr>
      <w:rFonts w:eastAsiaTheme="majorEastAsia" w:cstheme="majorBidi"/>
      <w:color w:val="272727" w:themeColor="text1" w:themeTint="D8"/>
    </w:rPr>
  </w:style>
  <w:style w:type="paragraph" w:styleId="a3">
    <w:name w:val="Title"/>
    <w:basedOn w:val="a"/>
    <w:next w:val="a"/>
    <w:link w:val="Char"/>
    <w:uiPriority w:val="10"/>
    <w:qFormat/>
    <w:rsid w:val="001072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107211"/>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07211"/>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107211"/>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107211"/>
    <w:pPr>
      <w:spacing w:before="160"/>
      <w:jc w:val="center"/>
    </w:pPr>
    <w:rPr>
      <w:i/>
      <w:iCs/>
      <w:color w:val="404040" w:themeColor="text1" w:themeTint="BF"/>
    </w:rPr>
  </w:style>
  <w:style w:type="character" w:customStyle="1" w:styleId="Char1">
    <w:name w:val="اقتباس Char"/>
    <w:basedOn w:val="a0"/>
    <w:link w:val="a5"/>
    <w:uiPriority w:val="29"/>
    <w:rsid w:val="00107211"/>
    <w:rPr>
      <w:i/>
      <w:iCs/>
      <w:color w:val="404040" w:themeColor="text1" w:themeTint="BF"/>
    </w:rPr>
  </w:style>
  <w:style w:type="paragraph" w:styleId="a6">
    <w:name w:val="List Paragraph"/>
    <w:basedOn w:val="a"/>
    <w:uiPriority w:val="34"/>
    <w:qFormat/>
    <w:rsid w:val="00107211"/>
    <w:pPr>
      <w:ind w:left="720"/>
      <w:contextualSpacing/>
    </w:pPr>
  </w:style>
  <w:style w:type="character" w:styleId="a7">
    <w:name w:val="Intense Emphasis"/>
    <w:basedOn w:val="a0"/>
    <w:uiPriority w:val="21"/>
    <w:qFormat/>
    <w:rsid w:val="00107211"/>
    <w:rPr>
      <w:i/>
      <w:iCs/>
      <w:color w:val="2F5496" w:themeColor="accent1" w:themeShade="BF"/>
    </w:rPr>
  </w:style>
  <w:style w:type="paragraph" w:styleId="a8">
    <w:name w:val="Intense Quote"/>
    <w:basedOn w:val="a"/>
    <w:next w:val="a"/>
    <w:link w:val="Char2"/>
    <w:uiPriority w:val="30"/>
    <w:qFormat/>
    <w:rsid w:val="001072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107211"/>
    <w:rPr>
      <w:i/>
      <w:iCs/>
      <w:color w:val="2F5496" w:themeColor="accent1" w:themeShade="BF"/>
    </w:rPr>
  </w:style>
  <w:style w:type="character" w:styleId="a9">
    <w:name w:val="Intense Reference"/>
    <w:basedOn w:val="a0"/>
    <w:uiPriority w:val="32"/>
    <w:qFormat/>
    <w:rsid w:val="00107211"/>
    <w:rPr>
      <w:b/>
      <w:bCs/>
      <w:smallCaps/>
      <w:color w:val="2F5496" w:themeColor="accent1" w:themeShade="BF"/>
      <w:spacing w:val="5"/>
    </w:rPr>
  </w:style>
  <w:style w:type="paragraph" w:styleId="aa">
    <w:name w:val="Normal (Web)"/>
    <w:basedOn w:val="a"/>
    <w:uiPriority w:val="99"/>
    <w:semiHidden/>
    <w:unhideWhenUsed/>
    <w:rsid w:val="00F850CD"/>
    <w:pPr>
      <w:bidi w:val="0"/>
      <w:spacing w:after="0" w:line="240" w:lineRule="auto"/>
    </w:pPr>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963594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Pages>
  <Words>563</Words>
  <Characters>3210</Characters>
  <Application>Microsoft Office Word</Application>
  <DocSecurity>0</DocSecurity>
  <Lines>26</Lines>
  <Paragraphs>7</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3766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عبدالرحمن الخضيري</dc:creator>
  <cp:keywords/>
  <dc:description/>
  <cp:lastModifiedBy>عزام بن عبدالعزيز محمد مبارك</cp:lastModifiedBy>
  <cp:revision>11</cp:revision>
  <cp:lastPrinted>2026-01-11T12:03:00Z</cp:lastPrinted>
  <dcterms:created xsi:type="dcterms:W3CDTF">2026-01-05T07:46:00Z</dcterms:created>
  <dcterms:modified xsi:type="dcterms:W3CDTF">2026-01-11T12:03:00Z</dcterms:modified>
</cp:coreProperties>
</file>