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E3D0F3" w14:textId="1A5BE42B" w:rsidR="00ED6484" w:rsidRPr="00107211" w:rsidRDefault="00107211" w:rsidP="00107211">
      <w:pPr>
        <w:jc w:val="center"/>
        <w:rPr>
          <w:rFonts w:cs="Royal Arabic"/>
          <w:b/>
          <w:bCs/>
          <w:sz w:val="32"/>
          <w:szCs w:val="32"/>
          <w:rtl/>
        </w:rPr>
      </w:pPr>
      <w:r w:rsidRPr="00107211">
        <w:rPr>
          <w:rFonts w:cs="Royal Arabic" w:hint="cs"/>
          <w:b/>
          <w:bCs/>
          <w:sz w:val="32"/>
          <w:szCs w:val="32"/>
          <w:rtl/>
        </w:rPr>
        <w:t>بسم الله الرحمن الرحيم</w:t>
      </w:r>
    </w:p>
    <w:p w14:paraId="711F01AB" w14:textId="720CA233" w:rsidR="00107211" w:rsidRPr="00107211" w:rsidRDefault="00107211" w:rsidP="00107211">
      <w:pPr>
        <w:jc w:val="center"/>
        <w:rPr>
          <w:rFonts w:cs="Royal Arabic"/>
          <w:b/>
          <w:bCs/>
          <w:sz w:val="32"/>
          <w:szCs w:val="32"/>
          <w:rtl/>
        </w:rPr>
      </w:pPr>
      <w:r w:rsidRPr="00107211">
        <w:rPr>
          <w:rFonts w:cs="Royal Arabic" w:hint="cs"/>
          <w:b/>
          <w:bCs/>
          <w:sz w:val="32"/>
          <w:szCs w:val="32"/>
          <w:rtl/>
        </w:rPr>
        <w:t>مذكرة جوابية</w:t>
      </w:r>
    </w:p>
    <w:p w14:paraId="3DD95106" w14:textId="30F607D8" w:rsidR="00107211" w:rsidRPr="00107211" w:rsidRDefault="00107211" w:rsidP="00D45D31">
      <w:pPr>
        <w:jc w:val="center"/>
        <w:rPr>
          <w:rFonts w:cs="Royal Arabic"/>
          <w:b/>
          <w:bCs/>
          <w:sz w:val="32"/>
          <w:szCs w:val="32"/>
          <w:rtl/>
        </w:rPr>
      </w:pPr>
      <w:r w:rsidRPr="00107211">
        <w:rPr>
          <w:rFonts w:cs="Royal Arabic" w:hint="cs"/>
          <w:b/>
          <w:bCs/>
          <w:sz w:val="32"/>
          <w:szCs w:val="32"/>
          <w:rtl/>
        </w:rPr>
        <w:t>في الدعوى رقم (</w:t>
      </w:r>
      <w:r w:rsidR="00B724A3">
        <w:rPr>
          <w:rFonts w:cs="Royal Arabic" w:hint="cs"/>
          <w:b/>
          <w:bCs/>
          <w:sz w:val="32"/>
          <w:szCs w:val="32"/>
          <w:rtl/>
        </w:rPr>
        <w:t>77833</w:t>
      </w:r>
      <w:r w:rsidRPr="00107211">
        <w:rPr>
          <w:rFonts w:cs="Royal Arabic" w:hint="cs"/>
          <w:b/>
          <w:bCs/>
          <w:sz w:val="32"/>
          <w:szCs w:val="32"/>
          <w:rtl/>
        </w:rPr>
        <w:t xml:space="preserve">) لعام 1447هـ، المقامة من/ </w:t>
      </w:r>
      <w:r w:rsidR="00B724A3">
        <w:rPr>
          <w:rFonts w:cs="Royal Arabic" w:hint="cs"/>
          <w:b/>
          <w:bCs/>
          <w:sz w:val="32"/>
          <w:szCs w:val="32"/>
          <w:rtl/>
        </w:rPr>
        <w:t xml:space="preserve">محمد بن </w:t>
      </w:r>
      <w:proofErr w:type="gramStart"/>
      <w:r w:rsidR="00B724A3">
        <w:rPr>
          <w:rFonts w:cs="Royal Arabic" w:hint="cs"/>
          <w:b/>
          <w:bCs/>
          <w:sz w:val="32"/>
          <w:szCs w:val="32"/>
          <w:rtl/>
        </w:rPr>
        <w:t>عبدالله</w:t>
      </w:r>
      <w:proofErr w:type="gramEnd"/>
      <w:r w:rsidR="00B724A3">
        <w:rPr>
          <w:rFonts w:cs="Royal Arabic" w:hint="cs"/>
          <w:b/>
          <w:bCs/>
          <w:sz w:val="32"/>
          <w:szCs w:val="32"/>
          <w:rtl/>
        </w:rPr>
        <w:t xml:space="preserve"> الغامدي صاحب </w:t>
      </w:r>
      <w:r w:rsidR="009219CA">
        <w:rPr>
          <w:rFonts w:cs="Royal Arabic" w:hint="cs"/>
          <w:b/>
          <w:bCs/>
          <w:sz w:val="32"/>
          <w:szCs w:val="32"/>
          <w:rtl/>
        </w:rPr>
        <w:t xml:space="preserve">مؤسسة </w:t>
      </w:r>
      <w:r w:rsidR="00D45D31">
        <w:rPr>
          <w:rFonts w:cs="Royal Arabic" w:hint="cs"/>
          <w:b/>
          <w:bCs/>
          <w:sz w:val="32"/>
          <w:szCs w:val="32"/>
          <w:rtl/>
        </w:rPr>
        <w:t>لحظات المساء للتجارة</w:t>
      </w:r>
    </w:p>
    <w:p w14:paraId="732AD3E0" w14:textId="2748C692" w:rsidR="003B2A7A" w:rsidRPr="003B2A7A" w:rsidRDefault="00107211" w:rsidP="003B2A7A">
      <w:pPr>
        <w:jc w:val="center"/>
        <w:rPr>
          <w:rFonts w:cs="Royal Arabic"/>
          <w:b/>
          <w:bCs/>
          <w:sz w:val="32"/>
          <w:szCs w:val="32"/>
          <w:rtl/>
        </w:rPr>
      </w:pPr>
      <w:r w:rsidRPr="00107211">
        <w:rPr>
          <w:rFonts w:cs="Royal Arabic" w:hint="cs"/>
          <w:b/>
          <w:bCs/>
          <w:sz w:val="32"/>
          <w:szCs w:val="32"/>
          <w:rtl/>
        </w:rPr>
        <w:t>ضد/ ديوان المظالم</w:t>
      </w:r>
    </w:p>
    <w:p w14:paraId="1C9FDE29" w14:textId="0A0C3D38" w:rsidR="003B2A7A" w:rsidRPr="003B2A7A" w:rsidRDefault="003B2A7A" w:rsidP="003B2A7A">
      <w:pPr>
        <w:jc w:val="both"/>
        <w:rPr>
          <w:rFonts w:cs="Royal Arabic"/>
          <w:sz w:val="32"/>
          <w:szCs w:val="32"/>
          <w:rtl/>
        </w:rPr>
      </w:pPr>
      <w:r w:rsidRPr="003B2A7A">
        <w:rPr>
          <w:rFonts w:cs="Royal Arabic"/>
          <w:b/>
          <w:bCs/>
          <w:sz w:val="32"/>
          <w:szCs w:val="32"/>
          <w:rtl/>
        </w:rPr>
        <w:t>أول</w:t>
      </w:r>
      <w:r w:rsidRPr="003B2A7A">
        <w:rPr>
          <w:rFonts w:cs="Royal Arabic" w:hint="cs"/>
          <w:b/>
          <w:bCs/>
          <w:sz w:val="32"/>
          <w:szCs w:val="32"/>
          <w:rtl/>
        </w:rPr>
        <w:t>اً</w:t>
      </w:r>
      <w:r w:rsidRPr="003B2A7A">
        <w:rPr>
          <w:rFonts w:cs="Royal Arabic"/>
          <w:b/>
          <w:bCs/>
          <w:sz w:val="32"/>
          <w:szCs w:val="32"/>
          <w:rtl/>
        </w:rPr>
        <w:t>:</w:t>
      </w:r>
      <w:r w:rsidRPr="003B2A7A">
        <w:rPr>
          <w:rFonts w:cs="Royal Arabic"/>
          <w:sz w:val="32"/>
          <w:szCs w:val="32"/>
          <w:rtl/>
        </w:rPr>
        <w:t xml:space="preserve"> الدفع بعدم الاختصاص</w:t>
      </w:r>
      <w:r>
        <w:rPr>
          <w:rFonts w:cs="Royal Arabic" w:hint="cs"/>
          <w:sz w:val="32"/>
          <w:szCs w:val="32"/>
          <w:rtl/>
        </w:rPr>
        <w:t xml:space="preserve">: </w:t>
      </w:r>
    </w:p>
    <w:p w14:paraId="190F7563" w14:textId="288D673A" w:rsidR="00D45D31" w:rsidRPr="00D45D31" w:rsidRDefault="003B2A7A" w:rsidP="00D45D31">
      <w:pPr>
        <w:jc w:val="both"/>
        <w:rPr>
          <w:rFonts w:cs="Royal Arabic"/>
          <w:sz w:val="32"/>
          <w:szCs w:val="32"/>
          <w:rtl/>
        </w:rPr>
      </w:pPr>
      <w:r>
        <w:rPr>
          <w:rFonts w:cs="Royal Arabic" w:hint="cs"/>
          <w:sz w:val="32"/>
          <w:szCs w:val="32"/>
          <w:rtl/>
        </w:rPr>
        <w:t xml:space="preserve">1- </w:t>
      </w:r>
      <w:r w:rsidRPr="003B2A7A">
        <w:rPr>
          <w:rFonts w:cs="Royal Arabic"/>
          <w:sz w:val="32"/>
          <w:szCs w:val="32"/>
          <w:rtl/>
        </w:rPr>
        <w:t>عدم الاختصاص الولائي</w:t>
      </w:r>
      <w:r>
        <w:rPr>
          <w:rFonts w:cs="Royal Arabic" w:hint="cs"/>
          <w:sz w:val="32"/>
          <w:szCs w:val="32"/>
          <w:rtl/>
        </w:rPr>
        <w:t xml:space="preserve">: </w:t>
      </w:r>
    </w:p>
    <w:p w14:paraId="4C307C1F" w14:textId="6B82CBE9" w:rsidR="00D45D31" w:rsidRDefault="007B22A8" w:rsidP="00D45D31">
      <w:pPr>
        <w:jc w:val="both"/>
        <w:rPr>
          <w:rFonts w:cs="Royal Arabic"/>
          <w:sz w:val="32"/>
          <w:szCs w:val="32"/>
          <w:rtl/>
        </w:rPr>
      </w:pPr>
      <w:r>
        <w:rPr>
          <w:rFonts w:cs="Royal Arabic"/>
          <w:sz w:val="32"/>
          <w:szCs w:val="32"/>
          <w:rtl/>
        </w:rPr>
        <w:tab/>
      </w:r>
      <w:r w:rsidR="00D45D31" w:rsidRPr="00D45D31">
        <w:rPr>
          <w:rFonts w:cs="Royal Arabic"/>
          <w:sz w:val="32"/>
          <w:szCs w:val="32"/>
          <w:rtl/>
        </w:rPr>
        <w:t>إن ما يطلبه المدعي في هذه الدعوى لا ينصب على قرار إداري صادر عن جهة إدارة، ولا على عمل إداري قابل للطعن، وإنما يقوم في حقيقته على الاعتراض على إجراءات قضائية اتُّخذت أثناء مباشرة محكمة التنفيذ الإدارية لاختصاصها، وما ترتب عليها من أوامر حجز وتحويل ورفع حظر</w:t>
      </w:r>
      <w:r w:rsidR="00D45D31">
        <w:rPr>
          <w:rFonts w:cs="Royal Arabic" w:hint="cs"/>
          <w:sz w:val="32"/>
          <w:szCs w:val="32"/>
          <w:rtl/>
        </w:rPr>
        <w:t xml:space="preserve">، </w:t>
      </w:r>
      <w:r w:rsidR="00D45D31">
        <w:rPr>
          <w:rFonts w:cs="Royal Arabic"/>
          <w:sz w:val="32"/>
          <w:szCs w:val="32"/>
          <w:rtl/>
        </w:rPr>
        <w:t>والأصل المستقر نظام</w:t>
      </w:r>
      <w:r w:rsidR="00D45D31">
        <w:rPr>
          <w:rFonts w:cs="Royal Arabic" w:hint="cs"/>
          <w:sz w:val="32"/>
          <w:szCs w:val="32"/>
          <w:rtl/>
        </w:rPr>
        <w:t>اً</w:t>
      </w:r>
      <w:r w:rsidR="00D45D31" w:rsidRPr="00D45D31">
        <w:rPr>
          <w:rFonts w:cs="Royal Arabic"/>
          <w:sz w:val="32"/>
          <w:szCs w:val="32"/>
          <w:rtl/>
        </w:rPr>
        <w:t xml:space="preserve"> وقضاءً أن أعمال السلطة القضائية، وما يصدر عنها من إجراءات وأوامر أثناء مباشرتها لاختصاصها، لا تخضع لرقابة الإلغاء أو التعويض أمام القضاء الإداري، ولا تُعد قرارات إدارية بالمعنى النظامي، بما تنتفي معه الولاية القضائية للمحكمة الإدارية بنظر هذه الدعوى.</w:t>
      </w:r>
    </w:p>
    <w:p w14:paraId="65416421" w14:textId="7A10213E" w:rsidR="007B22A8" w:rsidRPr="00D45D31" w:rsidRDefault="007B22A8" w:rsidP="007B22A8">
      <w:pPr>
        <w:jc w:val="both"/>
        <w:rPr>
          <w:rFonts w:cs="Royal Arabic"/>
          <w:sz w:val="32"/>
          <w:szCs w:val="32"/>
          <w:rtl/>
        </w:rPr>
      </w:pPr>
      <w:r>
        <w:rPr>
          <w:rFonts w:cs="Royal Arabic"/>
          <w:sz w:val="32"/>
          <w:szCs w:val="32"/>
          <w:rtl/>
        </w:rPr>
        <w:tab/>
      </w:r>
      <w:r w:rsidRPr="007B22A8">
        <w:rPr>
          <w:rFonts w:cs="Royal Arabic"/>
          <w:sz w:val="32"/>
          <w:szCs w:val="32"/>
          <w:rtl/>
        </w:rPr>
        <w:t>وقد قررت المحكمة الإدارية العليا هذا المبدأ في حكمها الصادر في الاعتراض رقم (4303) لعام 1444هـ؛ إذ انتهت إلى أن ما يتخذه القاضي من إجراءات، وما يصدره من أوامر وقرارات وأحكام أثناء مباشرته لولايته القضائية، يدخل في نطاق استقلاله القضائي، ولا ينعقد لمحاكم ديوان المظالم اختصاص ولائي بنظر دعاوى التعويض عنها</w:t>
      </w:r>
      <w:r w:rsidRPr="007B22A8">
        <w:rPr>
          <w:rFonts w:cs="Royal Arabic" w:hint="cs"/>
          <w:sz w:val="32"/>
          <w:szCs w:val="32"/>
          <w:rtl/>
        </w:rPr>
        <w:t xml:space="preserve">، وكذلك صدور مبدأ المحكمة الإدارية العليا بالحكم الصادر في الاعتراض رقم (4303) لعام 1444هـ بتاريخ 7/11/1445هـ، بشأن دعوى التعويض المقامة ضد وزارة العدل بسبب الإجراء الخاطئ الذي قام به قاضي التنفيذ، والذي نص على أن: (المنازعة الماثلة تتعلق بطلب المعترض ضده التعويض عن الإجراء الخاطئ الذي قام به </w:t>
      </w:r>
      <w:r w:rsidRPr="007B22A8">
        <w:rPr>
          <w:rFonts w:cs="Royal Arabic" w:hint="cs"/>
          <w:b/>
          <w:bCs/>
          <w:sz w:val="32"/>
          <w:szCs w:val="32"/>
          <w:rtl/>
        </w:rPr>
        <w:t>قاضي محكمة التنفيذ</w:t>
      </w:r>
      <w:r w:rsidRPr="007B22A8">
        <w:rPr>
          <w:rFonts w:cs="Royal Arabic" w:hint="cs"/>
          <w:sz w:val="32"/>
          <w:szCs w:val="32"/>
          <w:rtl/>
        </w:rPr>
        <w:t xml:space="preserve"> بجده، وحيث إنه ولئن كانت المعترضة تشرف إدارياً ومالياً على محكمة التنفيذ الإداري بجده وفقاً للمادة 71 من نظام القضاء التي تنص على: 1- مع عدم الإخلال بالأحكام المنصوص عليها في هذا النظام، تتولى وزارة العدل الإشراف الإداري والمالي على المحاكم وكتابات العدل، </w:t>
      </w:r>
      <w:r w:rsidRPr="007B22A8">
        <w:rPr>
          <w:rFonts w:cs="Royal Arabic" w:hint="cs"/>
          <w:b/>
          <w:bCs/>
          <w:sz w:val="32"/>
          <w:szCs w:val="32"/>
          <w:rtl/>
        </w:rPr>
        <w:t xml:space="preserve">ولما كان ما يتخذه القاضي من إجراءات وهو بصدد نظره القضائي وما يصدره من أوامر وقرارات وأحكام مما يدخل في ولايته القضائية، </w:t>
      </w:r>
      <w:r w:rsidRPr="007B22A8">
        <w:rPr>
          <w:rFonts w:cs="Royal Arabic" w:hint="cs"/>
          <w:sz w:val="32"/>
          <w:szCs w:val="32"/>
          <w:rtl/>
        </w:rPr>
        <w:lastRenderedPageBreak/>
        <w:t>في استقلال تام عن إشراف المعترضة وفقاً للمادة (1) من نظام القضاء التي تنص على أن: القضاة مستقلون، لا سلطان عليهم في قضائهم لغير أحكام الشريعة الإسلامية والأنظمة المرعية، وليس لأحد التدخل في القضاء، وحيث نصت المادة 14 من نظام ديوان المظالم على أنه: "لا يجوز لمحاكم ديوان المظالم النظر في الدعاوى المتعلقة بأعمال السيادة، أو النظر في الاعتراضات على ما تصدره المحاكم - غير الخاضعة لهذا النظام - من أحكام داخلة في ولايتها، أو ما يصدره المجلس الأعلى للقضاء ومجلس القضاء الإداري ومجلس النيابة العامة من قرارات." ولما كان الحكم المعترض عليه قد فصل في موضوع الدعوى بالمخالفة لما تقدم؛ فإنه يكون معيباً بالخطأ في تطبيق النظام)</w:t>
      </w:r>
      <w:r w:rsidRPr="007B22A8">
        <w:rPr>
          <w:rFonts w:cs="Royal Arabic"/>
          <w:sz w:val="32"/>
          <w:szCs w:val="32"/>
          <w:rtl/>
        </w:rPr>
        <w:t>.</w:t>
      </w:r>
    </w:p>
    <w:p w14:paraId="0A4BC25B" w14:textId="04A08F01" w:rsidR="00D45D31" w:rsidRDefault="007B22A8" w:rsidP="00D45D31">
      <w:pPr>
        <w:jc w:val="both"/>
        <w:rPr>
          <w:rFonts w:cs="Royal Arabic"/>
          <w:sz w:val="32"/>
          <w:szCs w:val="32"/>
          <w:rtl/>
        </w:rPr>
      </w:pPr>
      <w:r>
        <w:rPr>
          <w:rFonts w:cs="Royal Arabic"/>
          <w:sz w:val="32"/>
          <w:szCs w:val="32"/>
          <w:rtl/>
        </w:rPr>
        <w:t>وعليه</w:t>
      </w:r>
      <w:r>
        <w:rPr>
          <w:rFonts w:cs="Royal Arabic" w:hint="cs"/>
          <w:sz w:val="32"/>
          <w:szCs w:val="32"/>
          <w:rtl/>
        </w:rPr>
        <w:t>؛</w:t>
      </w:r>
      <w:r w:rsidR="00D45D31">
        <w:rPr>
          <w:rFonts w:cs="Royal Arabic"/>
          <w:sz w:val="32"/>
          <w:szCs w:val="32"/>
          <w:rtl/>
        </w:rPr>
        <w:t xml:space="preserve"> فإن الدعوى </w:t>
      </w:r>
      <w:proofErr w:type="gramStart"/>
      <w:r w:rsidR="00D45D31">
        <w:rPr>
          <w:rFonts w:cs="Royal Arabic" w:hint="cs"/>
          <w:sz w:val="32"/>
          <w:szCs w:val="32"/>
          <w:rtl/>
        </w:rPr>
        <w:t>-</w:t>
      </w:r>
      <w:r w:rsidR="00D45D31">
        <w:rPr>
          <w:rFonts w:cs="Royal Arabic"/>
          <w:sz w:val="32"/>
          <w:szCs w:val="32"/>
          <w:rtl/>
        </w:rPr>
        <w:t xml:space="preserve"> من</w:t>
      </w:r>
      <w:proofErr w:type="gramEnd"/>
      <w:r w:rsidR="00D45D31">
        <w:rPr>
          <w:rFonts w:cs="Royal Arabic"/>
          <w:sz w:val="32"/>
          <w:szCs w:val="32"/>
          <w:rtl/>
        </w:rPr>
        <w:t xml:space="preserve"> حيث ولايتها </w:t>
      </w:r>
      <w:r w:rsidR="00D45D31">
        <w:rPr>
          <w:rFonts w:cs="Royal Arabic" w:hint="cs"/>
          <w:sz w:val="32"/>
          <w:szCs w:val="32"/>
          <w:rtl/>
        </w:rPr>
        <w:t>-</w:t>
      </w:r>
      <w:r w:rsidR="00D45D31" w:rsidRPr="00D45D31">
        <w:rPr>
          <w:rFonts w:cs="Royal Arabic"/>
          <w:sz w:val="32"/>
          <w:szCs w:val="32"/>
          <w:rtl/>
        </w:rPr>
        <w:t xml:space="preserve"> غير منعقدة للمحكمة الإدارية، ويتعين الحكم بعدم الاختصاص الولائي.</w:t>
      </w:r>
    </w:p>
    <w:p w14:paraId="0CC4AA97" w14:textId="77777777" w:rsidR="00D45D31" w:rsidRDefault="003B2A7A" w:rsidP="00D45D31">
      <w:pPr>
        <w:jc w:val="both"/>
        <w:rPr>
          <w:rFonts w:cs="Royal Arabic"/>
          <w:sz w:val="32"/>
          <w:szCs w:val="32"/>
          <w:rtl/>
        </w:rPr>
      </w:pPr>
      <w:r w:rsidRPr="003B2A7A">
        <w:rPr>
          <w:rFonts w:cs="Royal Arabic"/>
          <w:b/>
          <w:bCs/>
          <w:sz w:val="32"/>
          <w:szCs w:val="32"/>
          <w:rtl/>
        </w:rPr>
        <w:t>ثاني</w:t>
      </w:r>
      <w:r w:rsidRPr="003B2A7A">
        <w:rPr>
          <w:rFonts w:cs="Royal Arabic" w:hint="cs"/>
          <w:b/>
          <w:bCs/>
          <w:sz w:val="32"/>
          <w:szCs w:val="32"/>
          <w:rtl/>
        </w:rPr>
        <w:t>اً</w:t>
      </w:r>
      <w:r w:rsidRPr="003B2A7A">
        <w:rPr>
          <w:rFonts w:cs="Royal Arabic"/>
          <w:b/>
          <w:bCs/>
          <w:sz w:val="32"/>
          <w:szCs w:val="32"/>
          <w:rtl/>
        </w:rPr>
        <w:t>:</w:t>
      </w:r>
      <w:r w:rsidRPr="003B2A7A">
        <w:rPr>
          <w:rFonts w:cs="Royal Arabic"/>
          <w:sz w:val="32"/>
          <w:szCs w:val="32"/>
          <w:rtl/>
        </w:rPr>
        <w:t xml:space="preserve"> الدفع بعدم قبول الدعوى لرفعها على غير ذي صفة</w:t>
      </w:r>
      <w:r>
        <w:rPr>
          <w:rFonts w:cs="Royal Arabic" w:hint="cs"/>
          <w:sz w:val="32"/>
          <w:szCs w:val="32"/>
          <w:rtl/>
        </w:rPr>
        <w:t xml:space="preserve">: </w:t>
      </w:r>
    </w:p>
    <w:p w14:paraId="6CBE9AED" w14:textId="67BC49D2" w:rsidR="00D45D31" w:rsidRDefault="00E40147" w:rsidP="00E97FB9">
      <w:pPr>
        <w:jc w:val="both"/>
        <w:rPr>
          <w:rFonts w:cs="Royal Arabic"/>
          <w:sz w:val="32"/>
          <w:szCs w:val="32"/>
          <w:rtl/>
        </w:rPr>
      </w:pPr>
      <w:r>
        <w:rPr>
          <w:rFonts w:cs="Royal Arabic"/>
          <w:sz w:val="32"/>
          <w:szCs w:val="32"/>
          <w:rtl/>
        </w:rPr>
        <w:tab/>
      </w:r>
      <w:bookmarkStart w:id="0" w:name="_GoBack"/>
      <w:bookmarkEnd w:id="0"/>
      <w:r w:rsidR="004F04EA">
        <w:rPr>
          <w:rFonts w:cs="Royal Arabic" w:hint="cs"/>
          <w:sz w:val="32"/>
          <w:szCs w:val="32"/>
          <w:rtl/>
        </w:rPr>
        <w:t>وعلى فرض تجاوز جميع ما سبق، فإن</w:t>
      </w:r>
      <w:r w:rsidR="00D45D31" w:rsidRPr="00D45D31">
        <w:rPr>
          <w:rFonts w:cs="Royal Arabic"/>
          <w:sz w:val="32"/>
          <w:szCs w:val="32"/>
          <w:rtl/>
        </w:rPr>
        <w:t xml:space="preserve"> الثابت أن طلبات التنفيذ محل ما أُثير في الدعوى مقدمة ضد المدعي لصالح جهات طالبة للتنفيذ، وأن ما تم من إجراءات حجز أو تحويل صدر بأوامر قضائية من الدائرة </w:t>
      </w:r>
      <w:r w:rsidR="00D45D31">
        <w:rPr>
          <w:rFonts w:cs="Royal Arabic"/>
          <w:sz w:val="32"/>
          <w:szCs w:val="32"/>
          <w:rtl/>
        </w:rPr>
        <w:t>المختصة بمحكمة التنفيذ الإدارية</w:t>
      </w:r>
      <w:r w:rsidR="00D45D31">
        <w:rPr>
          <w:rFonts w:cs="Royal Arabic" w:hint="cs"/>
          <w:sz w:val="32"/>
          <w:szCs w:val="32"/>
          <w:rtl/>
        </w:rPr>
        <w:t xml:space="preserve">، </w:t>
      </w:r>
      <w:r w:rsidR="00D45D31" w:rsidRPr="00D45D31">
        <w:rPr>
          <w:rFonts w:cs="Royal Arabic"/>
          <w:sz w:val="32"/>
          <w:szCs w:val="32"/>
          <w:rtl/>
        </w:rPr>
        <w:t>أما ديوان المظ</w:t>
      </w:r>
      <w:r w:rsidR="00D45D31">
        <w:rPr>
          <w:rFonts w:cs="Royal Arabic"/>
          <w:sz w:val="32"/>
          <w:szCs w:val="32"/>
          <w:rtl/>
        </w:rPr>
        <w:t>الم، فلم يكن طرف</w:t>
      </w:r>
      <w:r w:rsidR="00D45D31">
        <w:rPr>
          <w:rFonts w:cs="Royal Arabic" w:hint="cs"/>
          <w:sz w:val="32"/>
          <w:szCs w:val="32"/>
          <w:rtl/>
        </w:rPr>
        <w:t>اً</w:t>
      </w:r>
      <w:r w:rsidR="00D45D31" w:rsidRPr="00D45D31">
        <w:rPr>
          <w:rFonts w:cs="Royal Arabic"/>
          <w:sz w:val="32"/>
          <w:szCs w:val="32"/>
          <w:rtl/>
        </w:rPr>
        <w:t xml:space="preserve"> في طلبات التنفيذ، ولم يباشر المطالبة بالمبال</w:t>
      </w:r>
      <w:r w:rsidR="007B22A8">
        <w:rPr>
          <w:rFonts w:cs="Royal Arabic"/>
          <w:sz w:val="32"/>
          <w:szCs w:val="32"/>
          <w:rtl/>
        </w:rPr>
        <w:t>غ محل السندات التنفيذية، ولم ت</w:t>
      </w:r>
      <w:r w:rsidR="007B22A8">
        <w:rPr>
          <w:rFonts w:cs="Royal Arabic" w:hint="cs"/>
          <w:sz w:val="32"/>
          <w:szCs w:val="32"/>
          <w:rtl/>
        </w:rPr>
        <w:t>َ</w:t>
      </w:r>
      <w:r w:rsidR="007B22A8">
        <w:rPr>
          <w:rFonts w:cs="Royal Arabic"/>
          <w:sz w:val="32"/>
          <w:szCs w:val="32"/>
          <w:rtl/>
        </w:rPr>
        <w:t>ؤ</w:t>
      </w:r>
      <w:r w:rsidR="007B22A8">
        <w:rPr>
          <w:rFonts w:cs="Royal Arabic" w:hint="cs"/>
          <w:sz w:val="32"/>
          <w:szCs w:val="32"/>
          <w:rtl/>
        </w:rPr>
        <w:t>ُ</w:t>
      </w:r>
      <w:r w:rsidR="00D45D31" w:rsidRPr="00D45D31">
        <w:rPr>
          <w:rFonts w:cs="Royal Arabic"/>
          <w:sz w:val="32"/>
          <w:szCs w:val="32"/>
          <w:rtl/>
        </w:rPr>
        <w:t>ل</w:t>
      </w:r>
      <w:r w:rsidR="007B22A8">
        <w:rPr>
          <w:rFonts w:cs="Royal Arabic" w:hint="cs"/>
          <w:sz w:val="32"/>
          <w:szCs w:val="32"/>
          <w:rtl/>
        </w:rPr>
        <w:t>ْ</w:t>
      </w:r>
      <w:r w:rsidR="00D45D31" w:rsidRPr="00D45D31">
        <w:rPr>
          <w:rFonts w:cs="Royal Arabic"/>
          <w:sz w:val="32"/>
          <w:szCs w:val="32"/>
          <w:rtl/>
        </w:rPr>
        <w:t xml:space="preserve"> إ</w:t>
      </w:r>
      <w:r w:rsidR="00D45D31">
        <w:rPr>
          <w:rFonts w:cs="Royal Arabic"/>
          <w:sz w:val="32"/>
          <w:szCs w:val="32"/>
          <w:rtl/>
        </w:rPr>
        <w:t xml:space="preserve">ليه أي مبالغ، وإنما اقتصر دوره </w:t>
      </w:r>
      <w:r w:rsidR="00D45D31">
        <w:rPr>
          <w:rFonts w:cs="Royal Arabic" w:hint="cs"/>
          <w:sz w:val="32"/>
          <w:szCs w:val="32"/>
          <w:rtl/>
        </w:rPr>
        <w:t>-</w:t>
      </w:r>
      <w:r w:rsidR="00D45D31">
        <w:rPr>
          <w:rFonts w:cs="Royal Arabic"/>
          <w:sz w:val="32"/>
          <w:szCs w:val="32"/>
          <w:rtl/>
        </w:rPr>
        <w:t xml:space="preserve"> بوصفه جهة قضاء </w:t>
      </w:r>
      <w:r w:rsidR="00D45D31">
        <w:rPr>
          <w:rFonts w:cs="Royal Arabic" w:hint="cs"/>
          <w:sz w:val="32"/>
          <w:szCs w:val="32"/>
          <w:rtl/>
        </w:rPr>
        <w:t>-</w:t>
      </w:r>
      <w:r w:rsidR="00D45D31" w:rsidRPr="00D45D31">
        <w:rPr>
          <w:rFonts w:cs="Royal Arabic"/>
          <w:sz w:val="32"/>
          <w:szCs w:val="32"/>
          <w:rtl/>
        </w:rPr>
        <w:t xml:space="preserve"> على مباشرة الإجراءات القضائية وفق اختصاصه النظامي، دون </w:t>
      </w:r>
      <w:r w:rsidR="00D45D31">
        <w:rPr>
          <w:rFonts w:cs="Royal Arabic"/>
          <w:sz w:val="32"/>
          <w:szCs w:val="32"/>
          <w:rtl/>
        </w:rPr>
        <w:t>صفة له في المطالبة أو الاستيفاء</w:t>
      </w:r>
      <w:r w:rsidR="00D45D31">
        <w:rPr>
          <w:rFonts w:cs="Royal Arabic" w:hint="cs"/>
          <w:sz w:val="32"/>
          <w:szCs w:val="32"/>
          <w:rtl/>
        </w:rPr>
        <w:t xml:space="preserve">، </w:t>
      </w:r>
      <w:r w:rsidR="00D45D31" w:rsidRPr="00D45D31">
        <w:rPr>
          <w:rFonts w:cs="Royal Arabic"/>
          <w:sz w:val="32"/>
          <w:szCs w:val="32"/>
          <w:rtl/>
        </w:rPr>
        <w:t>ومتى كانت الخصومة لا تُوجَّه إلا إلى ذي صفة، فإن اختصام الديوان في هذه ال</w:t>
      </w:r>
      <w:r w:rsidR="00E97FB9">
        <w:rPr>
          <w:rFonts w:cs="Royal Arabic"/>
          <w:sz w:val="32"/>
          <w:szCs w:val="32"/>
          <w:rtl/>
        </w:rPr>
        <w:t>دعوى يكون واقعًا على غير ذي صفة</w:t>
      </w:r>
      <w:r w:rsidR="00D45D31" w:rsidRPr="00D45D31">
        <w:rPr>
          <w:rFonts w:cs="Royal Arabic"/>
          <w:sz w:val="32"/>
          <w:szCs w:val="32"/>
          <w:rtl/>
        </w:rPr>
        <w:t>.</w:t>
      </w:r>
    </w:p>
    <w:p w14:paraId="72763416" w14:textId="77777777" w:rsidR="007B22A8" w:rsidRPr="00D45D31" w:rsidRDefault="007B22A8" w:rsidP="00E97FB9">
      <w:pPr>
        <w:jc w:val="both"/>
        <w:rPr>
          <w:rFonts w:cs="Royal Arabic"/>
          <w:sz w:val="32"/>
          <w:szCs w:val="32"/>
          <w:rtl/>
        </w:rPr>
      </w:pPr>
    </w:p>
    <w:p w14:paraId="674A79F8" w14:textId="5028A1C5" w:rsidR="00D45D31" w:rsidRPr="00D45D31" w:rsidRDefault="00D45D31" w:rsidP="00D45D31">
      <w:pPr>
        <w:jc w:val="both"/>
        <w:rPr>
          <w:rFonts w:cs="Royal Arabic"/>
          <w:sz w:val="32"/>
          <w:szCs w:val="32"/>
          <w:rtl/>
        </w:rPr>
      </w:pPr>
      <w:r>
        <w:rPr>
          <w:rFonts w:cs="Royal Arabic"/>
          <w:b/>
          <w:bCs/>
          <w:sz w:val="32"/>
          <w:szCs w:val="32"/>
          <w:rtl/>
        </w:rPr>
        <w:t>ثالث</w:t>
      </w:r>
      <w:r>
        <w:rPr>
          <w:rFonts w:cs="Royal Arabic" w:hint="cs"/>
          <w:b/>
          <w:bCs/>
          <w:sz w:val="32"/>
          <w:szCs w:val="32"/>
          <w:rtl/>
        </w:rPr>
        <w:t>اً</w:t>
      </w:r>
      <w:r w:rsidRPr="00D45D31">
        <w:rPr>
          <w:rFonts w:cs="Royal Arabic"/>
          <w:b/>
          <w:bCs/>
          <w:sz w:val="32"/>
          <w:szCs w:val="32"/>
          <w:rtl/>
        </w:rPr>
        <w:t>:</w:t>
      </w:r>
      <w:r w:rsidRPr="00D45D31">
        <w:rPr>
          <w:rFonts w:cs="Royal Arabic"/>
          <w:sz w:val="32"/>
          <w:szCs w:val="32"/>
          <w:rtl/>
        </w:rPr>
        <w:t xml:space="preserve"> الدفع بعدم تحرير الدعوى</w:t>
      </w:r>
      <w:r>
        <w:rPr>
          <w:rFonts w:cs="Royal Arabic" w:hint="cs"/>
          <w:sz w:val="32"/>
          <w:szCs w:val="32"/>
          <w:rtl/>
        </w:rPr>
        <w:t xml:space="preserve">: </w:t>
      </w:r>
    </w:p>
    <w:p w14:paraId="1C7BC034" w14:textId="35211539" w:rsidR="00D45D31" w:rsidRPr="00D45D31" w:rsidRDefault="007B22A8" w:rsidP="00D45D31">
      <w:pPr>
        <w:jc w:val="both"/>
        <w:rPr>
          <w:rFonts w:cs="Royal Arabic"/>
          <w:sz w:val="32"/>
          <w:szCs w:val="32"/>
          <w:rtl/>
        </w:rPr>
      </w:pPr>
      <w:r>
        <w:rPr>
          <w:rFonts w:cs="Royal Arabic"/>
          <w:sz w:val="32"/>
          <w:szCs w:val="32"/>
          <w:rtl/>
        </w:rPr>
        <w:tab/>
      </w:r>
      <w:r w:rsidR="00D45D31" w:rsidRPr="00D45D31">
        <w:rPr>
          <w:rFonts w:cs="Royal Arabic"/>
          <w:sz w:val="32"/>
          <w:szCs w:val="32"/>
          <w:rtl/>
        </w:rPr>
        <w:t xml:space="preserve">فضلاً عما سبق، فإن </w:t>
      </w:r>
      <w:r w:rsidR="00D45D31">
        <w:rPr>
          <w:rFonts w:cs="Royal Arabic"/>
          <w:sz w:val="32"/>
          <w:szCs w:val="32"/>
          <w:rtl/>
        </w:rPr>
        <w:t>الدعوى محل النظر جاءت غير محررة</w:t>
      </w:r>
      <w:r w:rsidR="00D45D31" w:rsidRPr="00D45D31">
        <w:rPr>
          <w:rFonts w:cs="Royal Arabic"/>
          <w:sz w:val="32"/>
          <w:szCs w:val="32"/>
          <w:rtl/>
        </w:rPr>
        <w:t>؛ إذ لم يحدد المدعي على وجه الدقة القرار أو الإجراء مح</w:t>
      </w:r>
      <w:r w:rsidR="00D45D31">
        <w:rPr>
          <w:rFonts w:cs="Royal Arabic"/>
          <w:sz w:val="32"/>
          <w:szCs w:val="32"/>
          <w:rtl/>
        </w:rPr>
        <w:t>ل الطعن، ولم يبين طلباته بيا</w:t>
      </w:r>
      <w:r w:rsidR="00D45D31">
        <w:rPr>
          <w:rFonts w:cs="Royal Arabic" w:hint="cs"/>
          <w:sz w:val="32"/>
          <w:szCs w:val="32"/>
          <w:rtl/>
        </w:rPr>
        <w:t>ناً</w:t>
      </w:r>
      <w:r w:rsidR="00D45D31">
        <w:rPr>
          <w:rFonts w:cs="Royal Arabic"/>
          <w:sz w:val="32"/>
          <w:szCs w:val="32"/>
          <w:rtl/>
        </w:rPr>
        <w:t xml:space="preserve"> منضبط</w:t>
      </w:r>
      <w:r w:rsidR="00D45D31">
        <w:rPr>
          <w:rFonts w:cs="Royal Arabic" w:hint="cs"/>
          <w:sz w:val="32"/>
          <w:szCs w:val="32"/>
          <w:rtl/>
        </w:rPr>
        <w:t>اً</w:t>
      </w:r>
      <w:r w:rsidR="00D45D31" w:rsidRPr="00D45D31">
        <w:rPr>
          <w:rFonts w:cs="Royal Arabic"/>
          <w:sz w:val="32"/>
          <w:szCs w:val="32"/>
          <w:rtl/>
        </w:rPr>
        <w:t>، كما خلت دعواه من تحديد ال</w:t>
      </w:r>
      <w:r w:rsidR="00D45D31">
        <w:rPr>
          <w:rFonts w:cs="Royal Arabic"/>
          <w:sz w:val="32"/>
          <w:szCs w:val="32"/>
          <w:rtl/>
        </w:rPr>
        <w:t>طلب التنفيذي محل الإشكال تحديد</w:t>
      </w:r>
      <w:r w:rsidR="00D45D31">
        <w:rPr>
          <w:rFonts w:cs="Royal Arabic" w:hint="cs"/>
          <w:sz w:val="32"/>
          <w:szCs w:val="32"/>
          <w:rtl/>
        </w:rPr>
        <w:t>اً</w:t>
      </w:r>
      <w:r w:rsidR="00D45D31">
        <w:rPr>
          <w:rFonts w:cs="Royal Arabic"/>
          <w:sz w:val="32"/>
          <w:szCs w:val="32"/>
          <w:rtl/>
        </w:rPr>
        <w:t xml:space="preserve"> دقيق</w:t>
      </w:r>
      <w:r w:rsidR="00D45D31">
        <w:rPr>
          <w:rFonts w:cs="Royal Arabic" w:hint="cs"/>
          <w:sz w:val="32"/>
          <w:szCs w:val="32"/>
          <w:rtl/>
        </w:rPr>
        <w:t>اً</w:t>
      </w:r>
      <w:r w:rsidR="00D45D31" w:rsidRPr="00D45D31">
        <w:rPr>
          <w:rFonts w:cs="Royal Arabic"/>
          <w:sz w:val="32"/>
          <w:szCs w:val="32"/>
          <w:rtl/>
        </w:rPr>
        <w:t xml:space="preserve">، واكتفى بعرض وقائع مجملة وطلبات عامة </w:t>
      </w:r>
      <w:r w:rsidR="00D45D31">
        <w:rPr>
          <w:rFonts w:cs="Royal Arabic"/>
          <w:sz w:val="32"/>
          <w:szCs w:val="32"/>
          <w:rtl/>
        </w:rPr>
        <w:t>برفع الضرر وتفادي الحجز مستقبل</w:t>
      </w:r>
      <w:r w:rsidR="00D45D31">
        <w:rPr>
          <w:rFonts w:cs="Royal Arabic" w:hint="cs"/>
          <w:sz w:val="32"/>
          <w:szCs w:val="32"/>
          <w:rtl/>
        </w:rPr>
        <w:t>اً</w:t>
      </w:r>
      <w:r w:rsidR="00D45D31" w:rsidRPr="00D45D31">
        <w:rPr>
          <w:rFonts w:cs="Royal Arabic"/>
          <w:sz w:val="32"/>
          <w:szCs w:val="32"/>
          <w:rtl/>
        </w:rPr>
        <w:t>.</w:t>
      </w:r>
    </w:p>
    <w:p w14:paraId="310E55DC" w14:textId="77777777" w:rsidR="003B2A7A" w:rsidRPr="003B2A7A" w:rsidRDefault="003B2A7A" w:rsidP="00300D3A">
      <w:pPr>
        <w:jc w:val="center"/>
        <w:rPr>
          <w:rFonts w:cs="Royal Arabic"/>
          <w:sz w:val="32"/>
          <w:szCs w:val="32"/>
          <w:rtl/>
        </w:rPr>
      </w:pPr>
      <w:r w:rsidRPr="003B2A7A">
        <w:rPr>
          <w:rFonts w:cs="Royal Arabic"/>
          <w:sz w:val="32"/>
          <w:szCs w:val="32"/>
          <w:rtl/>
        </w:rPr>
        <w:t>الطلبات</w:t>
      </w:r>
    </w:p>
    <w:p w14:paraId="490AF4B7" w14:textId="777F83AC" w:rsidR="003B2A7A" w:rsidRPr="003B2A7A" w:rsidRDefault="003B2A7A" w:rsidP="00BA51D5">
      <w:pPr>
        <w:jc w:val="both"/>
        <w:rPr>
          <w:rFonts w:cs="Royal Arabic"/>
          <w:sz w:val="32"/>
          <w:szCs w:val="32"/>
          <w:rtl/>
        </w:rPr>
      </w:pPr>
      <w:r w:rsidRPr="003B2A7A">
        <w:rPr>
          <w:rFonts w:cs="Royal Arabic"/>
          <w:sz w:val="32"/>
          <w:szCs w:val="32"/>
          <w:rtl/>
        </w:rPr>
        <w:lastRenderedPageBreak/>
        <w:t>لذلك، يلتمس ديوان المظالم من فضيلتكم الحكم بما يلي:</w:t>
      </w:r>
    </w:p>
    <w:p w14:paraId="445AE034" w14:textId="1951AF82" w:rsidR="003B2A7A" w:rsidRPr="003B2A7A" w:rsidRDefault="00BA51D5" w:rsidP="003B2A7A">
      <w:pPr>
        <w:jc w:val="both"/>
        <w:rPr>
          <w:rFonts w:cs="Royal Arabic"/>
          <w:sz w:val="32"/>
          <w:szCs w:val="32"/>
          <w:rtl/>
        </w:rPr>
      </w:pPr>
      <w:r>
        <w:rPr>
          <w:rFonts w:cs="Royal Arabic" w:hint="cs"/>
          <w:sz w:val="32"/>
          <w:szCs w:val="32"/>
          <w:rtl/>
        </w:rPr>
        <w:t xml:space="preserve">أساسياً: </w:t>
      </w:r>
      <w:r w:rsidR="003B2A7A" w:rsidRPr="003B2A7A">
        <w:rPr>
          <w:rFonts w:cs="Royal Arabic"/>
          <w:sz w:val="32"/>
          <w:szCs w:val="32"/>
          <w:rtl/>
        </w:rPr>
        <w:t>عدم اختصاص المحكمة الإدارية بنظر الدعوى.</w:t>
      </w:r>
    </w:p>
    <w:p w14:paraId="6ACFCA0D" w14:textId="3FE5A700" w:rsidR="00AB019B" w:rsidRDefault="00BA51D5" w:rsidP="00D45D31">
      <w:pPr>
        <w:jc w:val="both"/>
        <w:rPr>
          <w:rFonts w:cs="Royal Arabic"/>
          <w:sz w:val="32"/>
          <w:szCs w:val="32"/>
          <w:rtl/>
        </w:rPr>
      </w:pPr>
      <w:r>
        <w:rPr>
          <w:rFonts w:cs="Royal Arabic" w:hint="cs"/>
          <w:sz w:val="32"/>
          <w:szCs w:val="32"/>
          <w:rtl/>
        </w:rPr>
        <w:t xml:space="preserve">احتياطياً: </w:t>
      </w:r>
      <w:r w:rsidR="003B2A7A" w:rsidRPr="003B2A7A">
        <w:rPr>
          <w:rFonts w:cs="Royal Arabic"/>
          <w:sz w:val="32"/>
          <w:szCs w:val="32"/>
          <w:rtl/>
        </w:rPr>
        <w:t>عدم قبول الدعوى.</w:t>
      </w:r>
    </w:p>
    <w:p w14:paraId="36815DEF" w14:textId="69286898" w:rsidR="00300D3A" w:rsidRPr="00D218CA" w:rsidRDefault="00300D3A" w:rsidP="00300D3A">
      <w:pPr>
        <w:spacing w:before="240"/>
        <w:ind w:left="-908"/>
        <w:jc w:val="center"/>
        <w:rPr>
          <w:rFonts w:cs="Royal Arabic"/>
          <w:b/>
          <w:bCs/>
          <w:color w:val="222222"/>
          <w:sz w:val="34"/>
          <w:szCs w:val="34"/>
          <w:shd w:val="clear" w:color="auto" w:fill="FFFFFF"/>
          <w:rtl/>
        </w:rPr>
      </w:pPr>
      <w:r>
        <w:rPr>
          <w:rFonts w:cs="Royal Arabic" w:hint="cs"/>
          <w:b/>
          <w:bCs/>
          <w:color w:val="222222"/>
          <w:sz w:val="34"/>
          <w:szCs w:val="34"/>
          <w:shd w:val="clear" w:color="auto" w:fill="FFFFFF"/>
          <w:rtl/>
        </w:rPr>
        <w:t xml:space="preserve">                                                                                     </w:t>
      </w:r>
      <w:r w:rsidRPr="00C93A7A">
        <w:rPr>
          <w:rFonts w:cs="Royal Arabic" w:hint="cs"/>
          <w:b/>
          <w:bCs/>
          <w:color w:val="222222"/>
          <w:sz w:val="34"/>
          <w:szCs w:val="34"/>
          <w:shd w:val="clear" w:color="auto" w:fill="FFFFFF"/>
          <w:rtl/>
        </w:rPr>
        <w:t>ممثل ديوان المظالم</w:t>
      </w:r>
    </w:p>
    <w:p w14:paraId="1BFD6C8C" w14:textId="72CCF80E" w:rsidR="00300D3A" w:rsidRPr="00C93A7A" w:rsidRDefault="00300D3A" w:rsidP="00300D3A">
      <w:pPr>
        <w:spacing w:before="240"/>
        <w:ind w:left="-908"/>
        <w:jc w:val="center"/>
        <w:rPr>
          <w:rFonts w:cs="Royal Arabic"/>
          <w:color w:val="222222"/>
          <w:sz w:val="34"/>
          <w:szCs w:val="34"/>
          <w:shd w:val="clear" w:color="auto" w:fill="FFFFFF"/>
        </w:rPr>
      </w:pPr>
      <w:r>
        <w:rPr>
          <w:rFonts w:cs="Royal Arabic" w:hint="cs"/>
          <w:b/>
          <w:bCs/>
          <w:color w:val="222222"/>
          <w:sz w:val="34"/>
          <w:szCs w:val="34"/>
          <w:shd w:val="clear" w:color="auto" w:fill="FFFFFF"/>
          <w:rtl/>
        </w:rPr>
        <w:t xml:space="preserve">                                                                                   طلال بن منصور الحصيني </w:t>
      </w:r>
    </w:p>
    <w:p w14:paraId="29EE500A" w14:textId="77777777" w:rsidR="00300D3A" w:rsidRPr="00300D3A" w:rsidRDefault="00300D3A" w:rsidP="00BA51D5">
      <w:pPr>
        <w:jc w:val="both"/>
        <w:rPr>
          <w:rFonts w:cs="Royal Arabic"/>
          <w:sz w:val="32"/>
          <w:szCs w:val="32"/>
        </w:rPr>
      </w:pPr>
    </w:p>
    <w:sectPr w:rsidR="00300D3A" w:rsidRPr="00300D3A" w:rsidSect="009D1B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yal Arabic">
    <w:panose1 w:val="00000000000000000000"/>
    <w:charset w:val="B2"/>
    <w:family w:val="auto"/>
    <w:pitch w:val="variable"/>
    <w:sig w:usb0="00002001" w:usb1="00000000" w:usb2="00000000"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211"/>
    <w:rsid w:val="000A509D"/>
    <w:rsid w:val="00107211"/>
    <w:rsid w:val="0014743C"/>
    <w:rsid w:val="001A1F2B"/>
    <w:rsid w:val="001A6007"/>
    <w:rsid w:val="00240DC3"/>
    <w:rsid w:val="00255A2E"/>
    <w:rsid w:val="002F6F45"/>
    <w:rsid w:val="00300D3A"/>
    <w:rsid w:val="00372D5D"/>
    <w:rsid w:val="003851F6"/>
    <w:rsid w:val="003B2A7A"/>
    <w:rsid w:val="004365DA"/>
    <w:rsid w:val="004572DB"/>
    <w:rsid w:val="00470694"/>
    <w:rsid w:val="004F04EA"/>
    <w:rsid w:val="005F73DD"/>
    <w:rsid w:val="00640DAE"/>
    <w:rsid w:val="006B418A"/>
    <w:rsid w:val="00766396"/>
    <w:rsid w:val="007B22A8"/>
    <w:rsid w:val="007C55A3"/>
    <w:rsid w:val="007D263E"/>
    <w:rsid w:val="009219CA"/>
    <w:rsid w:val="00960281"/>
    <w:rsid w:val="009D1B13"/>
    <w:rsid w:val="009D3183"/>
    <w:rsid w:val="00A91C2A"/>
    <w:rsid w:val="00AB019B"/>
    <w:rsid w:val="00AC6C63"/>
    <w:rsid w:val="00AD3353"/>
    <w:rsid w:val="00B60280"/>
    <w:rsid w:val="00B724A3"/>
    <w:rsid w:val="00B7428D"/>
    <w:rsid w:val="00BA51D5"/>
    <w:rsid w:val="00BF1007"/>
    <w:rsid w:val="00C27FA5"/>
    <w:rsid w:val="00D07D6C"/>
    <w:rsid w:val="00D36868"/>
    <w:rsid w:val="00D36AED"/>
    <w:rsid w:val="00D41730"/>
    <w:rsid w:val="00D45D31"/>
    <w:rsid w:val="00DC0395"/>
    <w:rsid w:val="00E40147"/>
    <w:rsid w:val="00E97FB9"/>
    <w:rsid w:val="00ED6484"/>
    <w:rsid w:val="00F20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B3D96"/>
  <w15:chartTrackingRefBased/>
  <w15:docId w15:val="{FBBAA48E-185B-45BC-A66C-42E802600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uiPriority w:val="9"/>
    <w:qFormat/>
    <w:rsid w:val="001072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072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0721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0721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0721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072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072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072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072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10721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0721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0721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0721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07211"/>
    <w:rPr>
      <w:rFonts w:eastAsiaTheme="majorEastAsia" w:cstheme="majorBidi"/>
      <w:color w:val="2F5496" w:themeColor="accent1" w:themeShade="BF"/>
    </w:rPr>
  </w:style>
  <w:style w:type="character" w:customStyle="1" w:styleId="6Char">
    <w:name w:val="عنوان 6 Char"/>
    <w:basedOn w:val="a0"/>
    <w:link w:val="6"/>
    <w:uiPriority w:val="9"/>
    <w:semiHidden/>
    <w:rsid w:val="00107211"/>
    <w:rPr>
      <w:rFonts w:eastAsiaTheme="majorEastAsia" w:cstheme="majorBidi"/>
      <w:i/>
      <w:iCs/>
      <w:color w:val="595959" w:themeColor="text1" w:themeTint="A6"/>
    </w:rPr>
  </w:style>
  <w:style w:type="character" w:customStyle="1" w:styleId="7Char">
    <w:name w:val="عنوان 7 Char"/>
    <w:basedOn w:val="a0"/>
    <w:link w:val="7"/>
    <w:uiPriority w:val="9"/>
    <w:semiHidden/>
    <w:rsid w:val="00107211"/>
    <w:rPr>
      <w:rFonts w:eastAsiaTheme="majorEastAsia" w:cstheme="majorBidi"/>
      <w:color w:val="595959" w:themeColor="text1" w:themeTint="A6"/>
    </w:rPr>
  </w:style>
  <w:style w:type="character" w:customStyle="1" w:styleId="8Char">
    <w:name w:val="عنوان 8 Char"/>
    <w:basedOn w:val="a0"/>
    <w:link w:val="8"/>
    <w:uiPriority w:val="9"/>
    <w:semiHidden/>
    <w:rsid w:val="00107211"/>
    <w:rPr>
      <w:rFonts w:eastAsiaTheme="majorEastAsia" w:cstheme="majorBidi"/>
      <w:i/>
      <w:iCs/>
      <w:color w:val="272727" w:themeColor="text1" w:themeTint="D8"/>
    </w:rPr>
  </w:style>
  <w:style w:type="character" w:customStyle="1" w:styleId="9Char">
    <w:name w:val="عنوان 9 Char"/>
    <w:basedOn w:val="a0"/>
    <w:link w:val="9"/>
    <w:uiPriority w:val="9"/>
    <w:semiHidden/>
    <w:rsid w:val="00107211"/>
    <w:rPr>
      <w:rFonts w:eastAsiaTheme="majorEastAsia" w:cstheme="majorBidi"/>
      <w:color w:val="272727" w:themeColor="text1" w:themeTint="D8"/>
    </w:rPr>
  </w:style>
  <w:style w:type="paragraph" w:styleId="a3">
    <w:name w:val="Title"/>
    <w:basedOn w:val="a"/>
    <w:next w:val="a"/>
    <w:link w:val="Char"/>
    <w:uiPriority w:val="10"/>
    <w:qFormat/>
    <w:rsid w:val="00107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0721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0721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0721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07211"/>
    <w:pPr>
      <w:spacing w:before="160"/>
      <w:jc w:val="center"/>
    </w:pPr>
    <w:rPr>
      <w:i/>
      <w:iCs/>
      <w:color w:val="404040" w:themeColor="text1" w:themeTint="BF"/>
    </w:rPr>
  </w:style>
  <w:style w:type="character" w:customStyle="1" w:styleId="Char1">
    <w:name w:val="اقتباس Char"/>
    <w:basedOn w:val="a0"/>
    <w:link w:val="a5"/>
    <w:uiPriority w:val="29"/>
    <w:rsid w:val="00107211"/>
    <w:rPr>
      <w:i/>
      <w:iCs/>
      <w:color w:val="404040" w:themeColor="text1" w:themeTint="BF"/>
    </w:rPr>
  </w:style>
  <w:style w:type="paragraph" w:styleId="a6">
    <w:name w:val="List Paragraph"/>
    <w:basedOn w:val="a"/>
    <w:uiPriority w:val="34"/>
    <w:qFormat/>
    <w:rsid w:val="00107211"/>
    <w:pPr>
      <w:ind w:left="720"/>
      <w:contextualSpacing/>
    </w:pPr>
  </w:style>
  <w:style w:type="character" w:styleId="a7">
    <w:name w:val="Intense Emphasis"/>
    <w:basedOn w:val="a0"/>
    <w:uiPriority w:val="21"/>
    <w:qFormat/>
    <w:rsid w:val="00107211"/>
    <w:rPr>
      <w:i/>
      <w:iCs/>
      <w:color w:val="2F5496" w:themeColor="accent1" w:themeShade="BF"/>
    </w:rPr>
  </w:style>
  <w:style w:type="paragraph" w:styleId="a8">
    <w:name w:val="Intense Quote"/>
    <w:basedOn w:val="a"/>
    <w:next w:val="a"/>
    <w:link w:val="Char2"/>
    <w:uiPriority w:val="30"/>
    <w:qFormat/>
    <w:rsid w:val="001072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07211"/>
    <w:rPr>
      <w:i/>
      <w:iCs/>
      <w:color w:val="2F5496" w:themeColor="accent1" w:themeShade="BF"/>
    </w:rPr>
  </w:style>
  <w:style w:type="character" w:styleId="a9">
    <w:name w:val="Intense Reference"/>
    <w:basedOn w:val="a0"/>
    <w:uiPriority w:val="32"/>
    <w:qFormat/>
    <w:rsid w:val="001072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560</Words>
  <Characters>3197</Characters>
  <Application>Microsoft Office Word</Application>
  <DocSecurity>0</DocSecurity>
  <Lines>26</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الخضيري</dc:creator>
  <cp:keywords/>
  <dc:description/>
  <cp:lastModifiedBy>عزام بن عبدالعزيز محمد مبارك</cp:lastModifiedBy>
  <cp:revision>10</cp:revision>
  <cp:lastPrinted>2026-01-11T11:41:00Z</cp:lastPrinted>
  <dcterms:created xsi:type="dcterms:W3CDTF">2026-01-05T07:46:00Z</dcterms:created>
  <dcterms:modified xsi:type="dcterms:W3CDTF">2026-01-11T11:41:00Z</dcterms:modified>
</cp:coreProperties>
</file>