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67F" w:rsidRPr="00D94C4A" w:rsidRDefault="00D94C4A" w:rsidP="00D94C4A">
      <w:pPr>
        <w:spacing w:after="0"/>
        <w:jc w:val="center"/>
        <w:rPr>
          <w:rFonts w:cs="Royal Arabic"/>
          <w:b/>
          <w:bCs/>
          <w:sz w:val="36"/>
          <w:szCs w:val="36"/>
          <w:rtl/>
        </w:rPr>
      </w:pPr>
      <w:r w:rsidRPr="00D94C4A">
        <w:rPr>
          <w:rFonts w:cs="Royal Arabic" w:hint="cs"/>
          <w:b/>
          <w:bCs/>
          <w:sz w:val="36"/>
          <w:szCs w:val="36"/>
          <w:rtl/>
        </w:rPr>
        <w:t>مذكرة الدفاع الأولى</w:t>
      </w:r>
    </w:p>
    <w:p w:rsidR="00D94C4A" w:rsidRPr="00D94C4A" w:rsidRDefault="00D94C4A" w:rsidP="00D94C4A">
      <w:pPr>
        <w:spacing w:after="0"/>
        <w:jc w:val="center"/>
        <w:rPr>
          <w:rFonts w:cs="Royal Arabic"/>
          <w:b/>
          <w:bCs/>
          <w:sz w:val="36"/>
          <w:szCs w:val="36"/>
          <w:rtl/>
        </w:rPr>
      </w:pPr>
      <w:r w:rsidRPr="00D94C4A">
        <w:rPr>
          <w:rFonts w:cs="Royal Arabic" w:hint="cs"/>
          <w:b/>
          <w:bCs/>
          <w:sz w:val="36"/>
          <w:szCs w:val="36"/>
          <w:rtl/>
        </w:rPr>
        <w:t>المحكمة الإدارية بتبوك</w:t>
      </w:r>
    </w:p>
    <w:p w:rsidR="00D94C4A" w:rsidRPr="00D94C4A" w:rsidRDefault="00D94C4A" w:rsidP="00D94C4A">
      <w:pPr>
        <w:spacing w:after="0"/>
        <w:jc w:val="center"/>
        <w:rPr>
          <w:rFonts w:cs="Royal Arabic"/>
          <w:sz w:val="36"/>
          <w:szCs w:val="36"/>
          <w:rtl/>
        </w:rPr>
      </w:pPr>
      <w:r w:rsidRPr="00D94C4A">
        <w:rPr>
          <w:rFonts w:cs="Royal Arabic" w:hint="cs"/>
          <w:b/>
          <w:bCs/>
          <w:sz w:val="36"/>
          <w:szCs w:val="36"/>
          <w:rtl/>
        </w:rPr>
        <w:t>الدعوى رقم:</w:t>
      </w:r>
      <w:r w:rsidRPr="00D94C4A">
        <w:rPr>
          <w:rFonts w:cs="Royal Arabic" w:hint="cs"/>
          <w:sz w:val="36"/>
          <w:szCs w:val="36"/>
          <w:rtl/>
        </w:rPr>
        <w:t xml:space="preserve"> (2366) لعام 1446هـ.</w:t>
      </w:r>
    </w:p>
    <w:p w:rsidR="00D94C4A" w:rsidRPr="00D94C4A" w:rsidRDefault="00D94C4A" w:rsidP="00D94C4A">
      <w:pPr>
        <w:spacing w:after="0"/>
        <w:jc w:val="center"/>
        <w:rPr>
          <w:rFonts w:cs="Royal Arabic"/>
          <w:sz w:val="36"/>
          <w:szCs w:val="36"/>
          <w:rtl/>
        </w:rPr>
      </w:pPr>
      <w:r w:rsidRPr="00D94C4A">
        <w:rPr>
          <w:rFonts w:cs="Royal Arabic" w:hint="cs"/>
          <w:b/>
          <w:bCs/>
          <w:sz w:val="36"/>
          <w:szCs w:val="36"/>
          <w:rtl/>
        </w:rPr>
        <w:t>المدعي:</w:t>
      </w:r>
      <w:r w:rsidRPr="00D94C4A">
        <w:rPr>
          <w:rFonts w:cs="Royal Arabic" w:hint="cs"/>
          <w:sz w:val="36"/>
          <w:szCs w:val="36"/>
          <w:rtl/>
        </w:rPr>
        <w:t xml:space="preserve"> إبراهيم بن عيد البلوي</w:t>
      </w:r>
    </w:p>
    <w:p w:rsidR="00D94C4A" w:rsidRPr="00D94C4A" w:rsidRDefault="00D94C4A" w:rsidP="00D94C4A">
      <w:pPr>
        <w:spacing w:after="0"/>
        <w:jc w:val="center"/>
        <w:rPr>
          <w:rFonts w:cs="Royal Arabic"/>
          <w:sz w:val="36"/>
          <w:szCs w:val="36"/>
          <w:rtl/>
        </w:rPr>
      </w:pPr>
      <w:r w:rsidRPr="00D94C4A">
        <w:rPr>
          <w:rFonts w:cs="Royal Arabic" w:hint="cs"/>
          <w:b/>
          <w:bCs/>
          <w:sz w:val="36"/>
          <w:szCs w:val="36"/>
          <w:rtl/>
        </w:rPr>
        <w:t>المدعى عليه:</w:t>
      </w:r>
      <w:r w:rsidRPr="00D94C4A">
        <w:rPr>
          <w:rFonts w:cs="Royal Arabic" w:hint="cs"/>
          <w:sz w:val="36"/>
          <w:szCs w:val="36"/>
          <w:rtl/>
        </w:rPr>
        <w:t xml:space="preserve"> ديوان المظالم</w:t>
      </w:r>
    </w:p>
    <w:p w:rsidR="00D94C4A" w:rsidRDefault="00D94C4A" w:rsidP="00D94C4A">
      <w:pPr>
        <w:spacing w:after="0"/>
        <w:jc w:val="center"/>
        <w:rPr>
          <w:rFonts w:cs="Royal Arabic"/>
          <w:sz w:val="32"/>
          <w:szCs w:val="32"/>
          <w:rtl/>
        </w:rPr>
      </w:pPr>
    </w:p>
    <w:p w:rsidR="00B25821" w:rsidRPr="00B25821" w:rsidRDefault="00B25821" w:rsidP="00B25821">
      <w:pPr>
        <w:pStyle w:val="a3"/>
        <w:numPr>
          <w:ilvl w:val="0"/>
          <w:numId w:val="6"/>
        </w:numPr>
        <w:jc w:val="both"/>
        <w:rPr>
          <w:rFonts w:cs="Royal Arabic"/>
          <w:b/>
          <w:bCs/>
          <w:sz w:val="36"/>
          <w:szCs w:val="36"/>
        </w:rPr>
      </w:pPr>
      <w:r w:rsidRPr="00B25821">
        <w:rPr>
          <w:rFonts w:cs="Royal Arabic" w:hint="cs"/>
          <w:b/>
          <w:bCs/>
          <w:sz w:val="36"/>
          <w:szCs w:val="36"/>
          <w:rtl/>
        </w:rPr>
        <w:t xml:space="preserve">ملخص الدعوى: </w:t>
      </w:r>
    </w:p>
    <w:p w:rsidR="00B25821" w:rsidRPr="00B25821" w:rsidRDefault="00B25821" w:rsidP="00B25821">
      <w:pPr>
        <w:jc w:val="both"/>
        <w:rPr>
          <w:rFonts w:cs="Royal Arabic"/>
          <w:sz w:val="36"/>
          <w:szCs w:val="36"/>
          <w:rtl/>
        </w:rPr>
      </w:pPr>
      <w:r w:rsidRPr="00B25821">
        <w:rPr>
          <w:rFonts w:cs="Royal Arabic" w:hint="cs"/>
          <w:sz w:val="36"/>
          <w:szCs w:val="36"/>
          <w:rtl/>
        </w:rPr>
        <w:t>تقدم المدعي بدعواه ضد ديوان المظالم أمام المحكمة الإدارية بتبوك بطلب إخلاء المحكمة الإدارية بتبوك قبل تاريخ: 30/11/1446هـ -وفقاً لعقد الإيجار المرفق- وسداد كافة المستحقات لمبلغ الإيجار عن السنة الماضية، مستنداً في ذلك بالإضافة إلى العقد المبرم إلى اللائحة التنفيذية لنظام استئجار الدولة للعقار الصادر في عام 1444هـ.</w:t>
      </w:r>
    </w:p>
    <w:p w:rsidR="00B25821" w:rsidRPr="00B25821" w:rsidRDefault="00B25821" w:rsidP="00B25821">
      <w:pPr>
        <w:pStyle w:val="a3"/>
        <w:numPr>
          <w:ilvl w:val="0"/>
          <w:numId w:val="6"/>
        </w:numPr>
        <w:jc w:val="both"/>
        <w:rPr>
          <w:rFonts w:cs="Royal Arabic"/>
          <w:b/>
          <w:bCs/>
          <w:sz w:val="36"/>
          <w:szCs w:val="36"/>
          <w:rtl/>
        </w:rPr>
      </w:pPr>
      <w:r w:rsidRPr="00B25821">
        <w:rPr>
          <w:rFonts w:cs="Royal Arabic" w:hint="cs"/>
          <w:b/>
          <w:bCs/>
          <w:sz w:val="36"/>
          <w:szCs w:val="36"/>
          <w:rtl/>
        </w:rPr>
        <w:t>الدفع بعدم الاختصاص المكاني:</w:t>
      </w:r>
    </w:p>
    <w:p w:rsidR="00B25821" w:rsidRPr="00B25821" w:rsidRDefault="00B25821" w:rsidP="00D66F4C">
      <w:pPr>
        <w:jc w:val="both"/>
        <w:rPr>
          <w:rFonts w:cs="Royal Arabic"/>
          <w:sz w:val="36"/>
          <w:szCs w:val="36"/>
          <w:rtl/>
        </w:rPr>
      </w:pPr>
      <w:r w:rsidRPr="00B25821">
        <w:rPr>
          <w:rFonts w:cs="Royal Arabic" w:hint="cs"/>
          <w:sz w:val="36"/>
          <w:szCs w:val="36"/>
          <w:rtl/>
        </w:rPr>
        <w:t xml:space="preserve">نظراً لكون الدعوى قد رُفعت أمام المحكمة الإدارية بمدينة: تبوك؛ </w:t>
      </w:r>
      <w:r w:rsidR="00243097">
        <w:rPr>
          <w:rFonts w:cs="Royal Arabic" w:hint="cs"/>
          <w:sz w:val="36"/>
          <w:szCs w:val="36"/>
          <w:rtl/>
        </w:rPr>
        <w:t>في حين أن مقر الجهة المدعى عليه</w:t>
      </w:r>
      <w:r w:rsidR="00D66F4C">
        <w:rPr>
          <w:rFonts w:cs="Royal Arabic" w:hint="cs"/>
          <w:sz w:val="36"/>
          <w:szCs w:val="36"/>
          <w:rtl/>
        </w:rPr>
        <w:t>ا</w:t>
      </w:r>
      <w:r w:rsidRPr="00B25821">
        <w:rPr>
          <w:rFonts w:cs="Royal Arabic" w:hint="cs"/>
          <w:sz w:val="36"/>
          <w:szCs w:val="36"/>
          <w:rtl/>
        </w:rPr>
        <w:t xml:space="preserve"> (ديوان المظالم) لا يقع ضمن اختصاص تلك المحكمة مكانياً</w:t>
      </w:r>
      <w:r w:rsidR="00D66F4C">
        <w:rPr>
          <w:rFonts w:cs="Royal Arabic" w:hint="cs"/>
          <w:sz w:val="36"/>
          <w:szCs w:val="36"/>
          <w:rtl/>
        </w:rPr>
        <w:t>؛</w:t>
      </w:r>
      <w:bookmarkStart w:id="0" w:name="_GoBack"/>
      <w:bookmarkEnd w:id="0"/>
      <w:r w:rsidRPr="00B25821">
        <w:rPr>
          <w:rFonts w:cs="Royal Arabic" w:hint="cs"/>
          <w:sz w:val="36"/>
          <w:szCs w:val="36"/>
          <w:rtl/>
        </w:rPr>
        <w:t xml:space="preserve"> إذ إن مقره مدينة الرياض، واستنادا</w:t>
      </w:r>
      <w:r w:rsidR="000B384A">
        <w:rPr>
          <w:rFonts w:cs="Royal Arabic" w:hint="cs"/>
          <w:sz w:val="36"/>
          <w:szCs w:val="36"/>
          <w:rtl/>
        </w:rPr>
        <w:t>ً</w:t>
      </w:r>
      <w:r w:rsidRPr="00B25821">
        <w:rPr>
          <w:rFonts w:cs="Royal Arabic" w:hint="cs"/>
          <w:sz w:val="36"/>
          <w:szCs w:val="36"/>
          <w:rtl/>
        </w:rPr>
        <w:t xml:space="preserve"> إلى المادة </w:t>
      </w:r>
      <w:r w:rsidR="000B384A">
        <w:rPr>
          <w:rFonts w:cs="Royal Arabic" w:hint="cs"/>
          <w:sz w:val="36"/>
          <w:szCs w:val="36"/>
          <w:rtl/>
        </w:rPr>
        <w:t>(</w:t>
      </w:r>
      <w:r w:rsidRPr="00B25821">
        <w:rPr>
          <w:rFonts w:cs="Royal Arabic" w:hint="cs"/>
          <w:sz w:val="36"/>
          <w:szCs w:val="36"/>
          <w:rtl/>
        </w:rPr>
        <w:t>الثانية</w:t>
      </w:r>
      <w:r w:rsidR="000B384A">
        <w:rPr>
          <w:rFonts w:cs="Royal Arabic" w:hint="cs"/>
          <w:sz w:val="36"/>
          <w:szCs w:val="36"/>
          <w:rtl/>
        </w:rPr>
        <w:t>)</w:t>
      </w:r>
      <w:r w:rsidRPr="00B25821">
        <w:rPr>
          <w:rFonts w:cs="Royal Arabic" w:hint="cs"/>
          <w:sz w:val="36"/>
          <w:szCs w:val="36"/>
          <w:rtl/>
        </w:rPr>
        <w:t xml:space="preserve"> من نظام المرافعات أمام ديوان المظالم.... </w:t>
      </w:r>
      <w:r w:rsidRPr="00B25821">
        <w:rPr>
          <w:rFonts w:cs="Royal Arabic" w:hint="cs"/>
          <w:b/>
          <w:bCs/>
          <w:sz w:val="36"/>
          <w:szCs w:val="36"/>
          <w:rtl/>
        </w:rPr>
        <w:t>نطلب الحكم بعدم اختصاص المحكمة الإدارية بتبوك مكانياً بنظر الدعوى.</w:t>
      </w:r>
      <w:r>
        <w:rPr>
          <w:rFonts w:cs="Royal Arabic" w:hint="cs"/>
          <w:sz w:val="36"/>
          <w:szCs w:val="36"/>
          <w:rtl/>
        </w:rPr>
        <w:t>....</w:t>
      </w:r>
      <w:r w:rsidRPr="00B25821">
        <w:rPr>
          <w:rFonts w:cs="Royal Arabic" w:hint="cs"/>
          <w:sz w:val="36"/>
          <w:szCs w:val="36"/>
          <w:rtl/>
        </w:rPr>
        <w:t xml:space="preserve"> ولا يغير من ذلك كون العقار محل العقد في مدينة تبوك؛ حيث إن المادة الثانية علّقت الاختصاص المكاني بمقر المدعى عليها وليس بمحل العقار، وكما سبق بيانه مقر المدعى عليها في مدينة الرياض.</w:t>
      </w:r>
    </w:p>
    <w:p w:rsidR="00B25821" w:rsidRPr="00B25821" w:rsidRDefault="00B25821" w:rsidP="00B25821">
      <w:pPr>
        <w:pStyle w:val="a3"/>
        <w:numPr>
          <w:ilvl w:val="0"/>
          <w:numId w:val="6"/>
        </w:numPr>
        <w:jc w:val="both"/>
        <w:rPr>
          <w:rFonts w:cs="Royal Arabic"/>
          <w:b/>
          <w:bCs/>
          <w:sz w:val="36"/>
          <w:szCs w:val="36"/>
          <w:rtl/>
        </w:rPr>
      </w:pPr>
      <w:r w:rsidRPr="00B25821">
        <w:rPr>
          <w:rFonts w:cs="Royal Arabic" w:hint="cs"/>
          <w:b/>
          <w:bCs/>
          <w:sz w:val="36"/>
          <w:szCs w:val="36"/>
          <w:rtl/>
        </w:rPr>
        <w:t>الدفع الموضوعي -مع التمسك بعد اختصاص المحكمة الإدارية بتبوك مكانياً-:</w:t>
      </w:r>
    </w:p>
    <w:p w:rsidR="00B25821" w:rsidRPr="00B25821" w:rsidRDefault="00B25821" w:rsidP="00B25821">
      <w:pPr>
        <w:jc w:val="both"/>
        <w:rPr>
          <w:rFonts w:cs="Royal Arabic"/>
          <w:sz w:val="36"/>
          <w:szCs w:val="36"/>
        </w:rPr>
      </w:pPr>
      <w:r w:rsidRPr="00B25821">
        <w:rPr>
          <w:rFonts w:cs="Royal Arabic" w:hint="cs"/>
          <w:b/>
          <w:bCs/>
          <w:sz w:val="36"/>
          <w:szCs w:val="36"/>
          <w:rtl/>
        </w:rPr>
        <w:t>أولاً:</w:t>
      </w:r>
      <w:r w:rsidRPr="00B25821">
        <w:rPr>
          <w:rFonts w:cs="Royal Arabic" w:hint="cs"/>
          <w:sz w:val="36"/>
          <w:szCs w:val="36"/>
          <w:rtl/>
        </w:rPr>
        <w:t xml:space="preserve"> إشارةً إلى استناد المدعي على اللائحة التنفيذية لنظام استئجار الد</w:t>
      </w:r>
      <w:r>
        <w:rPr>
          <w:rFonts w:cs="Royal Arabic" w:hint="cs"/>
          <w:sz w:val="36"/>
          <w:szCs w:val="36"/>
          <w:rtl/>
        </w:rPr>
        <w:t>ولة للعقار الصادر في عام 1444هـ:</w:t>
      </w:r>
    </w:p>
    <w:p w:rsidR="00B25821" w:rsidRPr="00B25821" w:rsidRDefault="00B25821" w:rsidP="00B25821">
      <w:pPr>
        <w:jc w:val="both"/>
        <w:rPr>
          <w:rFonts w:cs="Royal Arabic"/>
          <w:sz w:val="36"/>
          <w:szCs w:val="36"/>
          <w:rtl/>
        </w:rPr>
      </w:pPr>
      <w:r w:rsidRPr="00B25821">
        <w:rPr>
          <w:rFonts w:cs="Royal Arabic" w:hint="cs"/>
          <w:sz w:val="36"/>
          <w:szCs w:val="36"/>
          <w:rtl/>
        </w:rPr>
        <w:lastRenderedPageBreak/>
        <w:t xml:space="preserve">فإنه بالاطلاع على العقد محل الدعوى ونظام استئجار الدولة للعقار (القديم والجديد)؛ يتبين أن النظام الحاكم للدعوى هو نظام استئجار الدولة للعقار وإخلائه الصادر في عام 1427هـ ولائحته التنفيذية؛ حيث نصت المادة (19) من العقد -محل الدعوى- أن كل ما لم يرد به نص في هذا العقد فيُرجع فيه لنظام استئجار الدولة للعقار وإخلائه الصادر في عام 1427هـ ولائحته التنفيذية، وأنه يجري تفسير العقد والفصل فيما ينشأ عنه من دعاوى بموجب النظام واللائحة، كما أن العقد أُبرم مع المدعي بتاريخ: 30/02/1444هـ أي قبل سريان نظام استئجار الدولة للعقار المنشور بتاريخ: 07/01/1444هـ والمعمول به بعد مضي (180) يوماً من تاريخ نشره -وفقاً للمادة (31) منه-، كما لا يغيّر من ذلك ما تضمنته ديباجة (النظام الجديد)؛ والتي نصت في ثانياً: (لا تخل أحكام النظام -المشار إليه في البند (أولاً) من هذا القرار- بعقود استئجار الجهات الحكومية للعقار المبرمة قبل العمل به، على أن يكون تمديدها أو تجديدها، أو تعديلها، أو إنهاؤها، أو فسخها، وفقاً للنظام المشار إليه في البند (أولاً) من هذا القرار) حيث إن محل النزاع لا يتعلق بما أشير إليه من تمديد أو تجديد أو تعديل... فالمدعي لم يطلب ما أشير إليه، ولم يستند الديوان في بقائه بالعقار على ما أشير إليه حتى يطبق النظام الجديد </w:t>
      </w:r>
      <w:r>
        <w:rPr>
          <w:rFonts w:cs="Royal Arabic" w:hint="cs"/>
          <w:sz w:val="36"/>
          <w:szCs w:val="36"/>
          <w:rtl/>
        </w:rPr>
        <w:t xml:space="preserve">على الدعوى المنظورة </w:t>
      </w:r>
      <w:r w:rsidRPr="00B25821">
        <w:rPr>
          <w:rFonts w:cs="Royal Arabic" w:hint="cs"/>
          <w:sz w:val="36"/>
          <w:szCs w:val="36"/>
          <w:rtl/>
        </w:rPr>
        <w:t>-وسيأتي بيان ذلك بالتفصيل-.</w:t>
      </w:r>
    </w:p>
    <w:p w:rsidR="00B25821" w:rsidRPr="00B25821" w:rsidRDefault="00B25821" w:rsidP="00B25821">
      <w:pPr>
        <w:jc w:val="both"/>
        <w:rPr>
          <w:rFonts w:cs="Royal Arabic"/>
          <w:sz w:val="36"/>
          <w:szCs w:val="36"/>
          <w:rtl/>
        </w:rPr>
      </w:pPr>
      <w:r w:rsidRPr="00B25821">
        <w:rPr>
          <w:rFonts w:cs="Royal Arabic" w:hint="cs"/>
          <w:b/>
          <w:bCs/>
          <w:sz w:val="36"/>
          <w:szCs w:val="36"/>
          <w:rtl/>
        </w:rPr>
        <w:t>ثانياً:</w:t>
      </w:r>
      <w:r w:rsidRPr="00B25821">
        <w:rPr>
          <w:rFonts w:cs="Royal Arabic" w:hint="cs"/>
          <w:sz w:val="36"/>
          <w:szCs w:val="36"/>
          <w:rtl/>
        </w:rPr>
        <w:t xml:space="preserve"> جاء في المادة (17) من اللائحة التنفيذية لنظام استئجار الدولة للعق</w:t>
      </w:r>
      <w:r>
        <w:rPr>
          <w:rFonts w:cs="Royal Arabic" w:hint="cs"/>
          <w:sz w:val="36"/>
          <w:szCs w:val="36"/>
          <w:rtl/>
        </w:rPr>
        <w:t>ار وإخلائه الصادر في عام 1427هـ؛</w:t>
      </w:r>
      <w:r w:rsidRPr="00B25821">
        <w:rPr>
          <w:rFonts w:cs="Royal Arabic" w:hint="cs"/>
          <w:sz w:val="36"/>
          <w:szCs w:val="36"/>
          <w:rtl/>
        </w:rPr>
        <w:t xml:space="preserve"> ما</w:t>
      </w:r>
      <w:r>
        <w:rPr>
          <w:rFonts w:cs="Royal Arabic" w:hint="cs"/>
          <w:sz w:val="36"/>
          <w:szCs w:val="36"/>
          <w:rtl/>
        </w:rPr>
        <w:t xml:space="preserve"> </w:t>
      </w:r>
      <w:r w:rsidRPr="00B25821">
        <w:rPr>
          <w:rFonts w:cs="Royal Arabic" w:hint="cs"/>
          <w:sz w:val="36"/>
          <w:szCs w:val="36"/>
          <w:rtl/>
        </w:rPr>
        <w:t xml:space="preserve">نصه: (مع عدم الإخلال بأحكام المادة (السابعة) من نظام استئجار الدولة للعقار وإخلائه، </w:t>
      </w:r>
      <w:r w:rsidRPr="000B384A">
        <w:rPr>
          <w:rFonts w:cs="Royal Arabic" w:hint="cs"/>
          <w:b/>
          <w:bCs/>
          <w:sz w:val="36"/>
          <w:szCs w:val="36"/>
          <w:rtl/>
        </w:rPr>
        <w:t>يجوز</w:t>
      </w:r>
      <w:r w:rsidRPr="00B25821">
        <w:rPr>
          <w:rFonts w:cs="Royal Arabic" w:hint="cs"/>
          <w:sz w:val="36"/>
          <w:szCs w:val="36"/>
          <w:rtl/>
        </w:rPr>
        <w:t xml:space="preserve"> إذا اقتضت الحاجة بقاء الجهة المستأجرة في العقار لمدة تزيد على (مئة وثمانين يوماً) ولا تزيد عن سنة، حيث تدفع للمؤجر القيمة </w:t>
      </w:r>
      <w:proofErr w:type="spellStart"/>
      <w:r w:rsidRPr="00B25821">
        <w:rPr>
          <w:rFonts w:cs="Royal Arabic" w:hint="cs"/>
          <w:sz w:val="36"/>
          <w:szCs w:val="36"/>
          <w:rtl/>
        </w:rPr>
        <w:t>الإجارية</w:t>
      </w:r>
      <w:proofErr w:type="spellEnd"/>
      <w:r w:rsidRPr="00B25821">
        <w:rPr>
          <w:rFonts w:cs="Royal Arabic" w:hint="cs"/>
          <w:sz w:val="36"/>
          <w:szCs w:val="36"/>
          <w:rtl/>
        </w:rPr>
        <w:t xml:space="preserve"> المتفق عليها مضافاً إليها (5%) من الأجرة السنوية حتى تاريخ إخلاء المبنى، فإذا زادت مدة بقاء الجهة في العقار لمدة تزيد على سنة فتدفع للمؤجر القيمة </w:t>
      </w:r>
      <w:proofErr w:type="spellStart"/>
      <w:r w:rsidRPr="00B25821">
        <w:rPr>
          <w:rFonts w:cs="Royal Arabic" w:hint="cs"/>
          <w:sz w:val="36"/>
          <w:szCs w:val="36"/>
          <w:rtl/>
        </w:rPr>
        <w:t>الإجارية</w:t>
      </w:r>
      <w:proofErr w:type="spellEnd"/>
      <w:r w:rsidRPr="00B25821">
        <w:rPr>
          <w:rFonts w:cs="Royal Arabic" w:hint="cs"/>
          <w:sz w:val="36"/>
          <w:szCs w:val="36"/>
          <w:rtl/>
        </w:rPr>
        <w:t xml:space="preserve"> المتفق عليها مضافاً إليها (10%) من قيمة هذه الأجرة حتى تاريخ إخلاء المبنى، على أن يتضمن العقد النص على ذلك).</w:t>
      </w:r>
    </w:p>
    <w:p w:rsidR="00B25821" w:rsidRPr="00B25821" w:rsidRDefault="00B25821" w:rsidP="00B25821">
      <w:pPr>
        <w:jc w:val="both"/>
        <w:rPr>
          <w:rFonts w:cs="Royal Arabic"/>
          <w:sz w:val="36"/>
          <w:szCs w:val="36"/>
          <w:rtl/>
        </w:rPr>
      </w:pPr>
      <w:r w:rsidRPr="00B25821">
        <w:rPr>
          <w:rFonts w:cs="Royal Arabic" w:hint="cs"/>
          <w:sz w:val="36"/>
          <w:szCs w:val="36"/>
          <w:rtl/>
        </w:rPr>
        <w:lastRenderedPageBreak/>
        <w:t xml:space="preserve"> وقد نصت المادة (6) من العقد</w:t>
      </w:r>
      <w:r>
        <w:rPr>
          <w:rFonts w:cs="Royal Arabic" w:hint="cs"/>
          <w:sz w:val="36"/>
          <w:szCs w:val="36"/>
          <w:rtl/>
        </w:rPr>
        <w:t xml:space="preserve"> -محل الدعوى-</w:t>
      </w:r>
      <w:r w:rsidRPr="00B25821">
        <w:rPr>
          <w:rFonts w:cs="Royal Arabic" w:hint="cs"/>
          <w:sz w:val="36"/>
          <w:szCs w:val="36"/>
          <w:rtl/>
        </w:rPr>
        <w:t>: (عند بقاء الطرف الأول في العين المستأجرة بعد انتهاء مدة العقد المتفق عليها لمدة (مئة وثمانين) يوماً فأقل دون تجديد العقد أو تمديده يتم تعويض المؤجر عن تلك المدة وفقاً للأجرة المتفق عليها في العقد، وإذا زادت المدة على (مئة وثمانين) يوماً يُدفع للطرف الثاني أجرة سنة كاملة، وذلك بإضافة (5%) من الأجرة للستة أشهر الباقية من السنة أو إضافة (10%) من الأجرة إذا كانت المدة ستزيد عن سنة.)</w:t>
      </w:r>
    </w:p>
    <w:p w:rsidR="00B25821" w:rsidRPr="00B25821" w:rsidRDefault="000B384A" w:rsidP="00300F75">
      <w:pPr>
        <w:jc w:val="both"/>
        <w:rPr>
          <w:rFonts w:cs="Royal Arabic"/>
          <w:sz w:val="36"/>
          <w:szCs w:val="36"/>
          <w:rtl/>
        </w:rPr>
      </w:pPr>
      <w:r>
        <w:rPr>
          <w:rFonts w:cs="Royal Arabic" w:hint="cs"/>
          <w:sz w:val="36"/>
          <w:szCs w:val="36"/>
          <w:rtl/>
        </w:rPr>
        <w:t>الأمر الذي يجيز للمدعى عليه</w:t>
      </w:r>
      <w:r w:rsidR="00B25821" w:rsidRPr="00B25821">
        <w:rPr>
          <w:rFonts w:cs="Royal Arabic" w:hint="cs"/>
          <w:sz w:val="36"/>
          <w:szCs w:val="36"/>
          <w:rtl/>
        </w:rPr>
        <w:t xml:space="preserve"> (ديوان المظالم) البقاء في العقار -محل الدعوى- مع احتفاظ المدعي بحقه بالأجرة وفق التفصيل المشار إليه في المادة آنفة الذكر، وقد أحيط المدعي بذلك في خطاب الديوان الموجه إليه بتاريخ: 15/10/1446هـ، كما تجدر الإشارة إلى أن بقاء الديوان في العقار لا يعتبر إجراءً تعسفياً</w:t>
      </w:r>
      <w:r w:rsidR="00300F75">
        <w:rPr>
          <w:rFonts w:cs="Royal Arabic" w:hint="cs"/>
          <w:sz w:val="36"/>
          <w:szCs w:val="36"/>
          <w:rtl/>
        </w:rPr>
        <w:t xml:space="preserve"> واستغلالاً لسلطتها</w:t>
      </w:r>
      <w:r w:rsidR="00B25821" w:rsidRPr="00B25821">
        <w:rPr>
          <w:rFonts w:cs="Royal Arabic" w:hint="cs"/>
          <w:sz w:val="36"/>
          <w:szCs w:val="36"/>
          <w:rtl/>
        </w:rPr>
        <w:t xml:space="preserve">؛ بل للحاجة الملحة؛ حيث أجاز النظام للجهة الإدارية البقاء في العقار للمصلحة العامة ولاستمرار سير المرفق العام؛ ولا يخفى على فضيلتكم الإجراءات الواجب اتباعها عند استئجار الدولة للعقار والمدد التي تُستغرق لبدء تلك الإجراءات من عقد المنافسات </w:t>
      </w:r>
      <w:proofErr w:type="spellStart"/>
      <w:r w:rsidR="00B25821" w:rsidRPr="00B25821">
        <w:rPr>
          <w:rFonts w:cs="Royal Arabic" w:hint="cs"/>
          <w:sz w:val="36"/>
          <w:szCs w:val="36"/>
          <w:rtl/>
        </w:rPr>
        <w:t>والترسية</w:t>
      </w:r>
      <w:proofErr w:type="spellEnd"/>
      <w:r w:rsidR="00B25821" w:rsidRPr="00B25821">
        <w:rPr>
          <w:rFonts w:cs="Royal Arabic" w:hint="cs"/>
          <w:sz w:val="36"/>
          <w:szCs w:val="36"/>
          <w:rtl/>
        </w:rPr>
        <w:t xml:space="preserve"> وإبرام العقود وفقاً للأنظمة واللوائح، </w:t>
      </w:r>
      <w:r w:rsidR="00B25821" w:rsidRPr="00B25821">
        <w:rPr>
          <w:rFonts w:cs="Royal Arabic" w:hint="cs"/>
          <w:b/>
          <w:bCs/>
          <w:sz w:val="36"/>
          <w:szCs w:val="36"/>
          <w:rtl/>
        </w:rPr>
        <w:t>فضلاً عن أن النص النظامي المشار إليه منهي للنزاع</w:t>
      </w:r>
      <w:r w:rsidR="00C02950">
        <w:rPr>
          <w:rFonts w:cs="Royal Arabic" w:hint="cs"/>
          <w:b/>
          <w:bCs/>
          <w:sz w:val="36"/>
          <w:szCs w:val="36"/>
          <w:rtl/>
        </w:rPr>
        <w:t xml:space="preserve"> في جواز بقاء الديوان</w:t>
      </w:r>
      <w:r w:rsidR="00B25821" w:rsidRPr="00B25821">
        <w:rPr>
          <w:rFonts w:cs="Royal Arabic" w:hint="cs"/>
          <w:b/>
          <w:bCs/>
          <w:sz w:val="36"/>
          <w:szCs w:val="36"/>
          <w:rtl/>
        </w:rPr>
        <w:t>.</w:t>
      </w:r>
      <w:r w:rsidR="00B25821" w:rsidRPr="00B25821">
        <w:rPr>
          <w:rFonts w:cs="Royal Arabic" w:hint="cs"/>
          <w:sz w:val="36"/>
          <w:szCs w:val="36"/>
          <w:rtl/>
        </w:rPr>
        <w:t xml:space="preserve"> </w:t>
      </w:r>
      <w:r w:rsidR="00B25821" w:rsidRPr="00300F75">
        <w:rPr>
          <w:rFonts w:cs="Royal Arabic" w:hint="cs"/>
          <w:b/>
          <w:bCs/>
          <w:sz w:val="36"/>
          <w:szCs w:val="36"/>
          <w:rtl/>
        </w:rPr>
        <w:t>وبناء على ما سبق نطلب الحكم برفض الدعوى.</w:t>
      </w:r>
    </w:p>
    <w:p w:rsidR="000B384A" w:rsidRPr="00B25821" w:rsidRDefault="00B25821" w:rsidP="000B384A">
      <w:pPr>
        <w:jc w:val="both"/>
        <w:rPr>
          <w:rFonts w:cs="Royal Arabic"/>
          <w:sz w:val="36"/>
          <w:szCs w:val="36"/>
        </w:rPr>
      </w:pPr>
      <w:r w:rsidRPr="00B25821">
        <w:rPr>
          <w:rFonts w:cs="Royal Arabic" w:hint="cs"/>
          <w:b/>
          <w:bCs/>
          <w:sz w:val="36"/>
          <w:szCs w:val="36"/>
          <w:rtl/>
        </w:rPr>
        <w:t>ثالثاً:</w:t>
      </w:r>
      <w:r w:rsidRPr="00B25821">
        <w:rPr>
          <w:rFonts w:cs="Royal Arabic" w:hint="cs"/>
          <w:sz w:val="36"/>
          <w:szCs w:val="36"/>
          <w:rtl/>
        </w:rPr>
        <w:t xml:space="preserve"> وأما عن طلب المدعي بتسليم المستحقات للسنة الماضية؛ فقد أُشير في خطاب الديوان الموجه للمدعي بتاريخ: 15/10/1446هـ بأنه سيتم احتساب الاستحقاقات المالية طيلة فترة البقاء في العقار، </w:t>
      </w:r>
      <w:r w:rsidR="00794F0F">
        <w:rPr>
          <w:rFonts w:cs="Royal Arabic" w:hint="cs"/>
          <w:sz w:val="36"/>
          <w:szCs w:val="36"/>
          <w:rtl/>
        </w:rPr>
        <w:t>و</w:t>
      </w:r>
      <w:r w:rsidR="00794F0F" w:rsidRPr="00794F0F">
        <w:rPr>
          <w:rFonts w:cs="Royal Arabic" w:hint="cs"/>
          <w:sz w:val="36"/>
          <w:szCs w:val="36"/>
          <w:rtl/>
        </w:rPr>
        <w:t>نظرا</w:t>
      </w:r>
      <w:r w:rsidR="00794F0F">
        <w:rPr>
          <w:rFonts w:cs="Royal Arabic" w:hint="cs"/>
          <w:sz w:val="36"/>
          <w:szCs w:val="36"/>
          <w:rtl/>
        </w:rPr>
        <w:t>ً</w:t>
      </w:r>
      <w:r w:rsidR="00794F0F" w:rsidRPr="00794F0F">
        <w:rPr>
          <w:rFonts w:cs="Royal Arabic" w:hint="cs"/>
          <w:sz w:val="36"/>
          <w:szCs w:val="36"/>
          <w:rtl/>
        </w:rPr>
        <w:t xml:space="preserve"> لما </w:t>
      </w:r>
      <w:r w:rsidR="000B384A">
        <w:rPr>
          <w:rFonts w:cs="Royal Arabic" w:hint="cs"/>
          <w:sz w:val="36"/>
          <w:szCs w:val="36"/>
          <w:rtl/>
        </w:rPr>
        <w:t>ي</w:t>
      </w:r>
      <w:r w:rsidR="00794F0F" w:rsidRPr="00794F0F">
        <w:rPr>
          <w:rFonts w:cs="Royal Arabic" w:hint="cs"/>
          <w:sz w:val="36"/>
          <w:szCs w:val="36"/>
          <w:rtl/>
        </w:rPr>
        <w:t>ترتب على بقاء الديوان في العقار من اختلاف في الأجرة المتفق عليها في المادة الثالثة من العقد، وذلك وفق التفصيل الوارد في النصوص النظامية المشار إليها أعلاه،</w:t>
      </w:r>
      <w:r w:rsidR="000B384A">
        <w:rPr>
          <w:rFonts w:cs="Royal Arabic" w:hint="cs"/>
          <w:sz w:val="36"/>
          <w:szCs w:val="36"/>
          <w:rtl/>
        </w:rPr>
        <w:t xml:space="preserve"> وفي المادة السادسة من العقد،</w:t>
      </w:r>
      <w:r w:rsidR="00794F0F" w:rsidRPr="00794F0F">
        <w:rPr>
          <w:rFonts w:cs="Royal Arabic" w:hint="cs"/>
          <w:sz w:val="36"/>
          <w:szCs w:val="36"/>
          <w:rtl/>
        </w:rPr>
        <w:t xml:space="preserve"> ونظرا</w:t>
      </w:r>
      <w:r w:rsidR="00794F0F">
        <w:rPr>
          <w:rFonts w:cs="Royal Arabic" w:hint="cs"/>
          <w:sz w:val="36"/>
          <w:szCs w:val="36"/>
          <w:rtl/>
        </w:rPr>
        <w:t>ً لكون الديوان لم يخلِ</w:t>
      </w:r>
      <w:r w:rsidR="00794F0F" w:rsidRPr="00794F0F">
        <w:rPr>
          <w:rFonts w:cs="Royal Arabic" w:hint="cs"/>
          <w:sz w:val="36"/>
          <w:szCs w:val="36"/>
          <w:rtl/>
        </w:rPr>
        <w:t xml:space="preserve"> العقار حتى تاريخه؛</w:t>
      </w:r>
      <w:r w:rsidR="00794F0F">
        <w:rPr>
          <w:rFonts w:cs="Royal Arabic" w:hint="cs"/>
          <w:sz w:val="36"/>
          <w:szCs w:val="36"/>
          <w:rtl/>
        </w:rPr>
        <w:t xml:space="preserve"> فإنه يتعذر تحديد واحتساب الأجرة المستحقة؛ حيث لا يمكن حسابها وتحديدها إلا بعد إخلاء العقار،</w:t>
      </w:r>
      <w:r w:rsidR="00794F0F" w:rsidRPr="00794F0F">
        <w:rPr>
          <w:rFonts w:cs="Royal Arabic" w:hint="cs"/>
          <w:sz w:val="36"/>
          <w:szCs w:val="36"/>
          <w:rtl/>
        </w:rPr>
        <w:t xml:space="preserve"> </w:t>
      </w:r>
      <w:r w:rsidR="00794F0F" w:rsidRPr="00300F75">
        <w:rPr>
          <w:rFonts w:cs="Royal Arabic" w:hint="cs"/>
          <w:b/>
          <w:bCs/>
          <w:sz w:val="36"/>
          <w:szCs w:val="36"/>
          <w:rtl/>
        </w:rPr>
        <w:t>الأمر الذي يجعل من دعوى المدعي مرفوعة قبل أوانها؛ وبه يطلب الديوان الحكم بشأن طلب تسليم المستحقات.</w:t>
      </w:r>
    </w:p>
    <w:sectPr w:rsidR="000B384A" w:rsidRPr="00B25821" w:rsidSect="0040624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ylotus">
    <w:charset w:val="00"/>
    <w:family w:val="auto"/>
    <w:pitch w:val="variable"/>
    <w:sig w:usb0="00002007" w:usb1="80000000" w:usb2="00000008" w:usb3="00000000" w:csb0="00000043"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353211"/>
    <w:multiLevelType w:val="hybridMultilevel"/>
    <w:tmpl w:val="CE58C63C"/>
    <w:lvl w:ilvl="0" w:tplc="22884648">
      <w:numFmt w:val="bullet"/>
      <w:lvlText w:val="-"/>
      <w:lvlJc w:val="left"/>
      <w:pPr>
        <w:ind w:left="644" w:hanging="360"/>
      </w:pPr>
      <w:rPr>
        <w:rFonts w:ascii="mylotus" w:eastAsia="Times New Roman" w:hAnsi="mylotus" w:cs="Royal Arabic"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1">
    <w:nsid w:val="44DB557B"/>
    <w:multiLevelType w:val="hybridMultilevel"/>
    <w:tmpl w:val="3B7C6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8A86840"/>
    <w:multiLevelType w:val="hybridMultilevel"/>
    <w:tmpl w:val="EE4A4020"/>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3">
    <w:nsid w:val="5A3D281E"/>
    <w:multiLevelType w:val="hybridMultilevel"/>
    <w:tmpl w:val="0B9A8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65703F53"/>
    <w:multiLevelType w:val="hybridMultilevel"/>
    <w:tmpl w:val="378C5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11"/>
    <w:rsid w:val="00065A11"/>
    <w:rsid w:val="000B384A"/>
    <w:rsid w:val="00243097"/>
    <w:rsid w:val="00300F75"/>
    <w:rsid w:val="00406248"/>
    <w:rsid w:val="00762A29"/>
    <w:rsid w:val="00794F0F"/>
    <w:rsid w:val="00B25821"/>
    <w:rsid w:val="00C02950"/>
    <w:rsid w:val="00D66F4C"/>
    <w:rsid w:val="00D94C4A"/>
    <w:rsid w:val="00E326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47EDB5-E1C4-48B1-BBA8-86C2857C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4C4A"/>
    <w:pPr>
      <w:ind w:left="720"/>
      <w:contextualSpacing/>
    </w:pPr>
  </w:style>
  <w:style w:type="paragraph" w:styleId="a4">
    <w:name w:val="Balloon Text"/>
    <w:basedOn w:val="a"/>
    <w:link w:val="Char"/>
    <w:uiPriority w:val="99"/>
    <w:semiHidden/>
    <w:unhideWhenUsed/>
    <w:rsid w:val="00D66F4C"/>
    <w:pPr>
      <w:spacing w:after="0" w:line="240" w:lineRule="auto"/>
    </w:pPr>
    <w:rPr>
      <w:rFonts w:ascii="Tahoma" w:hAnsi="Tahoma" w:cs="Tahoma"/>
      <w:sz w:val="18"/>
      <w:szCs w:val="18"/>
    </w:rPr>
  </w:style>
  <w:style w:type="character" w:customStyle="1" w:styleId="Char">
    <w:name w:val="نص في بالون Char"/>
    <w:basedOn w:val="a0"/>
    <w:link w:val="a4"/>
    <w:uiPriority w:val="99"/>
    <w:semiHidden/>
    <w:rsid w:val="00D66F4C"/>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6086683">
      <w:bodyDiv w:val="1"/>
      <w:marLeft w:val="0"/>
      <w:marRight w:val="0"/>
      <w:marTop w:val="0"/>
      <w:marBottom w:val="0"/>
      <w:divBdr>
        <w:top w:val="none" w:sz="0" w:space="0" w:color="auto"/>
        <w:left w:val="none" w:sz="0" w:space="0" w:color="auto"/>
        <w:bottom w:val="none" w:sz="0" w:space="0" w:color="auto"/>
        <w:right w:val="none" w:sz="0" w:space="0" w:color="auto"/>
      </w:divBdr>
    </w:div>
    <w:div w:id="2012752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698</Words>
  <Characters>3980</Characters>
  <Application>Microsoft Office Word</Application>
  <DocSecurity>0</DocSecurity>
  <Lines>33</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احمد علي الرومي</dc:creator>
  <cp:keywords/>
  <dc:description/>
  <cp:lastModifiedBy>عزام بن عبدالعزيز محمد مبارك</cp:lastModifiedBy>
  <cp:revision>11</cp:revision>
  <cp:lastPrinted>2025-06-18T06:07:00Z</cp:lastPrinted>
  <dcterms:created xsi:type="dcterms:W3CDTF">2025-05-12T10:40:00Z</dcterms:created>
  <dcterms:modified xsi:type="dcterms:W3CDTF">2025-06-18T06:07:00Z</dcterms:modified>
</cp:coreProperties>
</file>