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77920" w:rsidRDefault="00137BAD" w:rsidP="00277920">
      <w:pPr>
        <w:widowControl w:val="0"/>
        <w:spacing w:line="420" w:lineRule="exact"/>
        <w:ind w:hanging="1"/>
        <w:jc w:val="center"/>
        <w:rPr>
          <w:rFonts w:ascii="Traditional Arabic" w:hAnsi="Traditional Arabic" w:cs="Royal Arabic"/>
          <w:b/>
          <w:bCs/>
          <w:sz w:val="38"/>
          <w:szCs w:val="38"/>
          <w:u w:val="single"/>
          <w:lang w:bidi="ar-JO"/>
        </w:rPr>
      </w:pPr>
      <w:r w:rsidRPr="00137BAD">
        <w:rPr>
          <w:rFonts w:ascii="Traditional Arabic" w:hAnsi="Traditional Arabic" w:cs="Royal Arabic" w:hint="cs"/>
          <w:b/>
          <w:bCs/>
          <w:sz w:val="38"/>
          <w:szCs w:val="38"/>
          <w:rtl/>
          <w:lang w:bidi="ar-JO"/>
        </w:rPr>
        <w:t xml:space="preserve">          </w:t>
      </w:r>
      <w:r w:rsidR="00277920">
        <w:rPr>
          <w:rFonts w:ascii="Traditional Arabic" w:hAnsi="Traditional Arabic" w:cs="Royal Arabic" w:hint="cs"/>
          <w:b/>
          <w:bCs/>
          <w:sz w:val="38"/>
          <w:szCs w:val="38"/>
          <w:u w:val="single"/>
          <w:rtl/>
          <w:lang w:bidi="ar-JO"/>
        </w:rPr>
        <w:t>مذكرة الدفاع الأولى بالدعوى</w:t>
      </w:r>
    </w:p>
    <w:p w:rsidR="00277920" w:rsidRDefault="00137BAD" w:rsidP="00137BAD">
      <w:pPr>
        <w:widowControl w:val="0"/>
        <w:spacing w:after="0" w:line="420" w:lineRule="exact"/>
        <w:ind w:hanging="1"/>
        <w:jc w:val="both"/>
        <w:rPr>
          <w:rFonts w:ascii="Traditional Arabic" w:hAnsi="Traditional Arabic" w:cs="Royal Arabic"/>
          <w:sz w:val="38"/>
          <w:szCs w:val="38"/>
          <w:lang w:bidi="ar-JO"/>
        </w:rPr>
      </w:pPr>
      <w:r>
        <w:rPr>
          <w:rFonts w:ascii="Traditional Arabic" w:eastAsia="Times New Roman" w:hAnsi="Traditional Arabic" w:cs="Royal Arabic" w:hint="cs"/>
          <w:sz w:val="38"/>
          <w:szCs w:val="38"/>
          <w:rtl/>
          <w:lang w:bidi="ar-JO"/>
        </w:rPr>
        <w:t>محكمة التنفيذ الإدارية</w:t>
      </w:r>
      <w:r w:rsidR="00277920">
        <w:rPr>
          <w:rFonts w:ascii="Traditional Arabic" w:eastAsia="Times New Roman" w:hAnsi="Traditional Arabic" w:cs="Royal Arabic" w:hint="cs"/>
          <w:sz w:val="38"/>
          <w:szCs w:val="38"/>
          <w:rtl/>
          <w:lang w:bidi="ar-JO"/>
        </w:rPr>
        <w:t>:</w:t>
      </w:r>
      <w:r>
        <w:rPr>
          <w:rFonts w:ascii="Traditional Arabic" w:eastAsia="Times New Roman" w:hAnsi="Traditional Arabic" w:cs="Royal Arabic" w:hint="cs"/>
          <w:sz w:val="38"/>
          <w:szCs w:val="38"/>
          <w:rtl/>
          <w:lang w:bidi="ar-JO"/>
        </w:rPr>
        <w:t xml:space="preserve"> الدائرة الثانية</w:t>
      </w:r>
      <w:r w:rsidR="00277920">
        <w:rPr>
          <w:rFonts w:ascii="Traditional Arabic" w:hAnsi="Traditional Arabic" w:cs="Royal Arabic" w:hint="cs"/>
          <w:sz w:val="38"/>
          <w:szCs w:val="38"/>
          <w:rtl/>
          <w:lang w:bidi="ar-JO"/>
        </w:rPr>
        <w:t>.</w:t>
      </w:r>
    </w:p>
    <w:p w:rsidR="00277920" w:rsidRDefault="00277920" w:rsidP="00137BAD">
      <w:pPr>
        <w:widowControl w:val="0"/>
        <w:spacing w:after="0" w:line="420" w:lineRule="exact"/>
        <w:ind w:hanging="1"/>
        <w:jc w:val="both"/>
        <w:rPr>
          <w:rFonts w:ascii="Arial" w:hAnsi="Arial" w:cs="Royal Arabic"/>
          <w:b/>
          <w:bCs/>
          <w:color w:val="FF0000"/>
          <w:sz w:val="38"/>
          <w:szCs w:val="38"/>
          <w:u w:val="single"/>
          <w:rtl/>
        </w:rPr>
      </w:pPr>
      <w:r>
        <w:rPr>
          <w:rFonts w:ascii="Traditional Arabic" w:hAnsi="Traditional Arabic" w:cs="Royal Arabic" w:hint="cs"/>
          <w:sz w:val="38"/>
          <w:szCs w:val="38"/>
          <w:rtl/>
          <w:lang w:bidi="ar-JO"/>
        </w:rPr>
        <w:t xml:space="preserve">رقم </w:t>
      </w:r>
      <w:r>
        <w:rPr>
          <w:rFonts w:ascii="Traditional Arabic" w:eastAsia="Times New Roman" w:hAnsi="Traditional Arabic" w:cs="Royal Arabic" w:hint="cs"/>
          <w:sz w:val="38"/>
          <w:szCs w:val="38"/>
          <w:rtl/>
          <w:lang w:bidi="ar-JO"/>
        </w:rPr>
        <w:t>الدعوى</w:t>
      </w:r>
      <w:r>
        <w:rPr>
          <w:rFonts w:ascii="Traditional Arabic" w:hAnsi="Traditional Arabic" w:cs="Royal Arabic" w:hint="cs"/>
          <w:sz w:val="38"/>
          <w:szCs w:val="38"/>
          <w:rtl/>
          <w:lang w:bidi="ar-JO"/>
        </w:rPr>
        <w:t xml:space="preserve">: </w:t>
      </w:r>
      <w:r w:rsidR="00137BAD">
        <w:rPr>
          <w:rFonts w:ascii="Traditional Arabic" w:hAnsi="Traditional Arabic" w:cs="Royal Arabic" w:hint="cs"/>
          <w:sz w:val="38"/>
          <w:szCs w:val="38"/>
          <w:rtl/>
          <w:lang w:bidi="ar-JO"/>
        </w:rPr>
        <w:t>2969</w:t>
      </w:r>
      <w:r>
        <w:rPr>
          <w:rFonts w:ascii="Traditional Arabic" w:hAnsi="Traditional Arabic" w:cs="Royal Arabic" w:hint="cs"/>
          <w:sz w:val="38"/>
          <w:szCs w:val="38"/>
          <w:rtl/>
          <w:lang w:bidi="ar-JO"/>
        </w:rPr>
        <w:t xml:space="preserve"> لعام 1447هـ.</w:t>
      </w:r>
    </w:p>
    <w:p w:rsidR="00277920" w:rsidRDefault="00277920" w:rsidP="00400969">
      <w:pPr>
        <w:widowControl w:val="0"/>
        <w:spacing w:after="0" w:line="420" w:lineRule="exact"/>
        <w:ind w:hanging="1"/>
        <w:jc w:val="both"/>
        <w:rPr>
          <w:rFonts w:ascii="Arial" w:hAnsi="Arial" w:cs="Royal Arabic"/>
          <w:sz w:val="38"/>
          <w:szCs w:val="38"/>
          <w:rtl/>
        </w:rPr>
      </w:pPr>
      <w:r>
        <w:rPr>
          <w:rFonts w:ascii="Arial" w:hAnsi="Arial" w:cs="Royal Arabic" w:hint="cs"/>
          <w:sz w:val="38"/>
          <w:szCs w:val="38"/>
          <w:rtl/>
        </w:rPr>
        <w:t>موضوعها:</w:t>
      </w:r>
      <w:r>
        <w:rPr>
          <w:rFonts w:ascii="Arial" w:hAnsi="Arial" w:cs="Royal Arabic" w:hint="cs"/>
          <w:b/>
          <w:bCs/>
          <w:sz w:val="38"/>
          <w:szCs w:val="38"/>
          <w:rtl/>
        </w:rPr>
        <w:t xml:space="preserve"> </w:t>
      </w:r>
      <w:r w:rsidR="00137BAD" w:rsidRPr="00DC7698">
        <w:rPr>
          <w:rFonts w:ascii="Arial" w:hAnsi="Arial" w:cs="Royal Arabic" w:hint="cs"/>
          <w:sz w:val="38"/>
          <w:szCs w:val="38"/>
          <w:rtl/>
        </w:rPr>
        <w:t>مطالبة المدعي برفع</w:t>
      </w:r>
      <w:r w:rsidR="00F56954" w:rsidRPr="00DC7698">
        <w:rPr>
          <w:rFonts w:ascii="Arial" w:hAnsi="Arial" w:cs="Royal Arabic" w:hint="cs"/>
          <w:sz w:val="38"/>
          <w:szCs w:val="38"/>
          <w:rtl/>
        </w:rPr>
        <w:t xml:space="preserve"> الحجز عن حسابه </w:t>
      </w:r>
      <w:r w:rsidR="00400969" w:rsidRPr="00DC7698">
        <w:rPr>
          <w:rFonts w:ascii="Arial" w:hAnsi="Arial" w:cs="Royal Arabic" w:hint="cs"/>
          <w:sz w:val="38"/>
          <w:szCs w:val="38"/>
          <w:rtl/>
        </w:rPr>
        <w:t>البنكي</w:t>
      </w:r>
      <w:r w:rsidR="00137BAD" w:rsidRPr="00DC7698">
        <w:rPr>
          <w:rFonts w:ascii="Arial" w:hAnsi="Arial" w:cs="Royal Arabic" w:hint="cs"/>
          <w:sz w:val="38"/>
          <w:szCs w:val="38"/>
          <w:rtl/>
        </w:rPr>
        <w:t>؛ لصدور قرار إتمام التنفيذ رقم(4679778) وتاريخ 11/10/1446هـ، وطلب العوض عن الأضرار الناشئة عن التأخر</w:t>
      </w:r>
      <w:r w:rsidR="00F56954" w:rsidRPr="00DC7698">
        <w:rPr>
          <w:rFonts w:ascii="Arial" w:hAnsi="Arial" w:cs="Royal Arabic" w:hint="cs"/>
          <w:sz w:val="38"/>
          <w:szCs w:val="38"/>
          <w:rtl/>
        </w:rPr>
        <w:t xml:space="preserve"> برفع الحجز</w:t>
      </w:r>
      <w:r w:rsidR="00137BAD" w:rsidRPr="00DC7698">
        <w:rPr>
          <w:rFonts w:ascii="Arial" w:hAnsi="Arial" w:cs="Royal Arabic" w:hint="cs"/>
          <w:sz w:val="38"/>
          <w:szCs w:val="38"/>
          <w:rtl/>
        </w:rPr>
        <w:t>، ومحاسبة المتسببين في ذلك.</w:t>
      </w:r>
      <w:r w:rsidR="00137BAD">
        <w:rPr>
          <w:rFonts w:ascii="Arial" w:hAnsi="Arial" w:cs="Royal Arabic" w:hint="cs"/>
          <w:b/>
          <w:bCs/>
          <w:sz w:val="38"/>
          <w:szCs w:val="38"/>
          <w:rtl/>
        </w:rPr>
        <w:t xml:space="preserve">  </w:t>
      </w:r>
    </w:p>
    <w:p w:rsidR="00277920" w:rsidRDefault="00277920" w:rsidP="00400969">
      <w:pPr>
        <w:widowControl w:val="0"/>
        <w:spacing w:after="0" w:line="420" w:lineRule="exact"/>
        <w:ind w:hanging="1"/>
        <w:jc w:val="both"/>
        <w:rPr>
          <w:rFonts w:ascii="Arial" w:hAnsi="Arial" w:cs="Royal Arabic"/>
          <w:sz w:val="38"/>
          <w:szCs w:val="38"/>
          <w:rtl/>
        </w:rPr>
      </w:pPr>
      <w:r>
        <w:rPr>
          <w:rFonts w:ascii="Traditional Arabic" w:eastAsia="Times New Roman" w:hAnsi="Traditional Arabic" w:cs="Royal Arabic" w:hint="cs"/>
          <w:sz w:val="38"/>
          <w:szCs w:val="38"/>
          <w:rtl/>
          <w:lang w:bidi="ar-JO"/>
        </w:rPr>
        <w:t>المدعي</w:t>
      </w:r>
      <w:r>
        <w:rPr>
          <w:rFonts w:ascii="Arial" w:hAnsi="Arial" w:cs="Royal Arabic" w:hint="cs"/>
          <w:sz w:val="38"/>
          <w:szCs w:val="38"/>
          <w:rtl/>
        </w:rPr>
        <w:t xml:space="preserve">: </w:t>
      </w:r>
      <w:r w:rsidR="00400969">
        <w:rPr>
          <w:rFonts w:ascii="Arial" w:hAnsi="Arial" w:cs="Royal Arabic" w:hint="cs"/>
          <w:sz w:val="38"/>
          <w:szCs w:val="38"/>
          <w:rtl/>
        </w:rPr>
        <w:t>سعود بن علي الطيار</w:t>
      </w:r>
      <w:r>
        <w:rPr>
          <w:rFonts w:ascii="Arial" w:hAnsi="Arial" w:cs="Royal Arabic" w:hint="cs"/>
          <w:sz w:val="38"/>
          <w:szCs w:val="38"/>
          <w:rtl/>
        </w:rPr>
        <w:t>، ذو الهوية الوطنية رقم: (</w:t>
      </w:r>
      <w:r w:rsidR="00400969">
        <w:rPr>
          <w:rFonts w:ascii="Arial" w:hAnsi="Arial" w:cs="Royal Arabic" w:hint="cs"/>
          <w:sz w:val="38"/>
          <w:szCs w:val="38"/>
          <w:rtl/>
        </w:rPr>
        <w:t>1051740668</w:t>
      </w:r>
      <w:r>
        <w:rPr>
          <w:rFonts w:ascii="Arial" w:hAnsi="Arial" w:cs="Royal Arabic" w:hint="cs"/>
          <w:sz w:val="38"/>
          <w:szCs w:val="38"/>
          <w:rtl/>
        </w:rPr>
        <w:t>).</w:t>
      </w:r>
    </w:p>
    <w:p w:rsidR="00277920" w:rsidRDefault="00277920" w:rsidP="00277920">
      <w:pPr>
        <w:widowControl w:val="0"/>
        <w:spacing w:after="0" w:line="420" w:lineRule="exact"/>
        <w:ind w:hanging="1"/>
        <w:jc w:val="both"/>
        <w:rPr>
          <w:rFonts w:ascii="Arial" w:hAnsi="Arial" w:cs="Royal Arabic"/>
          <w:sz w:val="38"/>
          <w:szCs w:val="38"/>
          <w:rtl/>
        </w:rPr>
      </w:pPr>
      <w:r>
        <w:rPr>
          <w:rFonts w:ascii="Traditional Arabic" w:eastAsia="Times New Roman" w:hAnsi="Traditional Arabic" w:cs="Royal Arabic" w:hint="cs"/>
          <w:sz w:val="38"/>
          <w:szCs w:val="38"/>
          <w:rtl/>
          <w:lang w:bidi="ar-JO"/>
        </w:rPr>
        <w:t>المدعى</w:t>
      </w:r>
      <w:r>
        <w:rPr>
          <w:rFonts w:ascii="Arial" w:hAnsi="Arial" w:cs="Royal Arabic" w:hint="cs"/>
          <w:sz w:val="38"/>
          <w:szCs w:val="38"/>
          <w:rtl/>
        </w:rPr>
        <w:t xml:space="preserve"> عليه: ديوان المظالم.</w:t>
      </w:r>
    </w:p>
    <w:p w:rsidR="00277920" w:rsidRDefault="00277920" w:rsidP="00277920">
      <w:pPr>
        <w:jc w:val="both"/>
        <w:rPr>
          <w:rFonts w:cs="Royal Arabic"/>
          <w:b/>
          <w:bCs/>
          <w:sz w:val="38"/>
          <w:szCs w:val="38"/>
          <w:rtl/>
        </w:rPr>
      </w:pPr>
      <w:r>
        <w:rPr>
          <w:rFonts w:cs="Royal Arabic" w:hint="cs"/>
          <w:b/>
          <w:bCs/>
          <w:sz w:val="38"/>
          <w:szCs w:val="38"/>
          <w:rtl/>
        </w:rPr>
        <w:t xml:space="preserve">                                 ــــــــــــــــــــــــــــــــــــ</w:t>
      </w:r>
    </w:p>
    <w:p w:rsidR="00277920" w:rsidRDefault="00137BAD" w:rsidP="00137BAD">
      <w:pPr>
        <w:jc w:val="both"/>
        <w:rPr>
          <w:rFonts w:ascii="Traditional Arabic" w:eastAsia="Times New Roman" w:hAnsi="Traditional Arabic" w:cs="Royal Arabic"/>
          <w:b/>
          <w:bCs/>
          <w:sz w:val="38"/>
          <w:szCs w:val="38"/>
          <w:rtl/>
        </w:rPr>
      </w:pPr>
      <w:r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</w:rPr>
        <w:t>فضيلة رئيس الدائرة الثانية</w:t>
      </w:r>
      <w:r w:rsidR="00F56954"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</w:rPr>
        <w:t xml:space="preserve"> بمحكمة التنفيذ الإدارية</w:t>
      </w:r>
      <w:r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</w:rPr>
        <w:t>.</w:t>
      </w:r>
      <w:r w:rsidR="00277920"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</w:rPr>
        <w:t xml:space="preserve"> </w:t>
      </w:r>
      <w:r w:rsidR="00F56954"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</w:rPr>
        <w:t xml:space="preserve">                       </w:t>
      </w:r>
      <w:r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</w:rPr>
        <w:t xml:space="preserve"> </w:t>
      </w:r>
      <w:r w:rsidR="00277920"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</w:rPr>
        <w:t xml:space="preserve">سلمه الله </w:t>
      </w:r>
    </w:p>
    <w:p w:rsidR="00277920" w:rsidRDefault="00277920" w:rsidP="00277920">
      <w:pPr>
        <w:jc w:val="both"/>
        <w:rPr>
          <w:rFonts w:ascii="Arial" w:hAnsi="Arial" w:cs="Royal Arabic"/>
          <w:sz w:val="38"/>
          <w:szCs w:val="38"/>
          <w:rtl/>
        </w:rPr>
      </w:pPr>
      <w:r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</w:rPr>
        <w:t>السلام عليكم ورحمة الله وبركاته، وبعد:</w:t>
      </w:r>
    </w:p>
    <w:p w:rsidR="000A1ADA" w:rsidRDefault="0005531A" w:rsidP="000A1ADA">
      <w:pPr>
        <w:jc w:val="both"/>
        <w:rPr>
          <w:rFonts w:ascii="Traditional Arabic" w:eastAsia="Times New Roman" w:hAnsi="Traditional Arabic" w:cs="Royal Arabic"/>
          <w:sz w:val="38"/>
          <w:szCs w:val="38"/>
          <w:rtl/>
        </w:rPr>
      </w:pPr>
      <w:r>
        <w:rPr>
          <w:rFonts w:ascii="Traditional Arabic" w:eastAsia="Times New Roman" w:hAnsi="Traditional Arabic" w:cs="Royal Arabic"/>
          <w:sz w:val="38"/>
          <w:szCs w:val="38"/>
          <w:rtl/>
        </w:rPr>
        <w:tab/>
      </w:r>
      <w:r w:rsidR="00277920"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إشارة إلى الدعوى المشار إلى بياناتها أعلاه، </w:t>
      </w:r>
      <w:r w:rsidR="00F56954"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فإن </w:t>
      </w:r>
      <w:r w:rsidR="00F56954" w:rsidRPr="00F56954">
        <w:rPr>
          <w:rFonts w:ascii="Traditional Arabic" w:eastAsia="Times New Roman" w:hAnsi="Traditional Arabic" w:cs="Royal Arabic" w:hint="cs"/>
          <w:sz w:val="38"/>
          <w:szCs w:val="38"/>
          <w:rtl/>
        </w:rPr>
        <w:t>ديوان</w:t>
      </w:r>
      <w:r w:rsidR="00F56954"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 المظالم يجيب</w:t>
      </w:r>
      <w:r w:rsidR="00F56954" w:rsidRPr="00F56954"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 عن الدعوى بالآتي:</w:t>
      </w:r>
    </w:p>
    <w:p w:rsidR="007E0DC5" w:rsidRDefault="0005531A" w:rsidP="0005531A">
      <w:pPr>
        <w:jc w:val="both"/>
        <w:rPr>
          <w:rFonts w:ascii="Traditional Arabic" w:eastAsia="Times New Roman" w:hAnsi="Traditional Arabic" w:cs="Royal Arabic"/>
          <w:sz w:val="38"/>
          <w:szCs w:val="38"/>
          <w:rtl/>
        </w:rPr>
      </w:pPr>
      <w:r>
        <w:rPr>
          <w:rFonts w:ascii="Traditional Arabic" w:eastAsia="Times New Roman" w:hAnsi="Traditional Arabic" w:cs="Royal Arabic"/>
          <w:sz w:val="38"/>
          <w:szCs w:val="38"/>
          <w:rtl/>
        </w:rPr>
        <w:tab/>
      </w:r>
      <w:r w:rsidR="007E0DC5" w:rsidRPr="0005531A"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</w:rPr>
        <w:t>أولاً</w:t>
      </w:r>
      <w:r w:rsidR="007E0DC5"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/ </w:t>
      </w:r>
      <w:r w:rsidR="00F56954"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أن </w:t>
      </w:r>
      <w:r w:rsidR="000A1ADA">
        <w:rPr>
          <w:rFonts w:ascii="Traditional Arabic" w:eastAsia="Times New Roman" w:hAnsi="Traditional Arabic" w:cs="Royal Arabic" w:hint="cs"/>
          <w:sz w:val="38"/>
          <w:szCs w:val="38"/>
          <w:rtl/>
        </w:rPr>
        <w:t>حقيقة ما يطالب به المدعي من</w:t>
      </w:r>
      <w:r w:rsidR="00F56954"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 رفع الحجز</w:t>
      </w:r>
      <w:r w:rsidR="00BD66CC"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 وطلب العوض ع</w:t>
      </w:r>
      <w:r w:rsidR="000A1ADA">
        <w:rPr>
          <w:rFonts w:ascii="Traditional Arabic" w:eastAsia="Times New Roman" w:hAnsi="Traditional Arabic" w:cs="Royal Arabic" w:hint="cs"/>
          <w:sz w:val="38"/>
          <w:szCs w:val="38"/>
          <w:rtl/>
        </w:rPr>
        <w:t>ن الأضرار الناشئة عن التأخر في اتخاذ</w:t>
      </w:r>
      <w:r w:rsidR="00BD66CC"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 هذا الإجراء</w:t>
      </w:r>
      <w:r w:rsidR="00306B4D">
        <w:rPr>
          <w:rFonts w:ascii="Traditional Arabic" w:eastAsia="Times New Roman" w:hAnsi="Traditional Arabic" w:cs="Royal Arabic" w:hint="cs"/>
          <w:sz w:val="38"/>
          <w:szCs w:val="38"/>
          <w:rtl/>
        </w:rPr>
        <w:t>،</w:t>
      </w:r>
      <w:r w:rsidR="00BD66CC"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 </w:t>
      </w:r>
      <w:r w:rsidR="00036E14"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مرتبط بأعمال قضائية لا إدارية؛ باعتبار أنها داخلة في ولاية قاضي التنفيذ وفق نظام التنفيذ أمام ديوان المظالم ولائحته التنفيذية، </w:t>
      </w:r>
      <w:r w:rsidR="00BD66CC"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وديوان المظالم </w:t>
      </w:r>
      <w:r w:rsidR="00F56954" w:rsidRPr="00F56954">
        <w:rPr>
          <w:rFonts w:ascii="Traditional Arabic" w:eastAsia="Times New Roman" w:hAnsi="Traditional Arabic" w:cs="Royal Arabic" w:hint="cs"/>
          <w:sz w:val="38"/>
          <w:szCs w:val="38"/>
          <w:rtl/>
        </w:rPr>
        <w:t>يختص كهيئة قضاء إداري بالنظر في أعمال جهات الإدارة لا في أعمال السلطة القضائية</w:t>
      </w:r>
      <w:r w:rsidR="000A1ADA">
        <w:rPr>
          <w:rFonts w:ascii="Traditional Arabic" w:eastAsia="Times New Roman" w:hAnsi="Traditional Arabic" w:cs="Royal Arabic" w:hint="cs"/>
          <w:sz w:val="38"/>
          <w:szCs w:val="38"/>
          <w:rtl/>
        </w:rPr>
        <w:t>؛</w:t>
      </w:r>
      <w:r w:rsidR="000A1ADA" w:rsidRPr="000A1ADA"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 وهذا ما أكدته المادة (14) من نظام ديوان المظالم الصادر بالمرسوم الملكي رقم (م</w:t>
      </w:r>
      <w:r w:rsidR="000A1ADA" w:rsidRPr="000A1ADA">
        <w:rPr>
          <w:rFonts w:ascii="Traditional Arabic" w:eastAsia="Times New Roman" w:hAnsi="Traditional Arabic" w:cs="Royal Arabic"/>
          <w:sz w:val="38"/>
          <w:szCs w:val="38"/>
          <w:rtl/>
        </w:rPr>
        <w:t>/78</w:t>
      </w:r>
      <w:r w:rsidR="000A1ADA" w:rsidRPr="000A1ADA">
        <w:rPr>
          <w:rFonts w:ascii="Traditional Arabic" w:eastAsia="Times New Roman" w:hAnsi="Traditional Arabic" w:cs="Royal Arabic" w:hint="cs"/>
          <w:sz w:val="38"/>
          <w:szCs w:val="38"/>
          <w:rtl/>
        </w:rPr>
        <w:t>)</w:t>
      </w:r>
      <w:r w:rsidR="000A1ADA" w:rsidRPr="000A1ADA">
        <w:rPr>
          <w:rFonts w:ascii="Traditional Arabic" w:eastAsia="Times New Roman" w:hAnsi="Traditional Arabic" w:cs="Royal Arabic"/>
          <w:sz w:val="38"/>
          <w:szCs w:val="38"/>
          <w:rtl/>
        </w:rPr>
        <w:t xml:space="preserve"> </w:t>
      </w:r>
      <w:r w:rsidR="000A1ADA" w:rsidRPr="000A1ADA">
        <w:rPr>
          <w:rFonts w:ascii="Traditional Arabic" w:eastAsia="Times New Roman" w:hAnsi="Traditional Arabic" w:cs="Royal Arabic" w:hint="cs"/>
          <w:sz w:val="38"/>
          <w:szCs w:val="38"/>
          <w:rtl/>
        </w:rPr>
        <w:t>بتاريخ</w:t>
      </w:r>
      <w:r w:rsidR="000A1ADA" w:rsidRPr="000A1ADA">
        <w:rPr>
          <w:rFonts w:ascii="Traditional Arabic" w:eastAsia="Times New Roman" w:hAnsi="Traditional Arabic" w:cs="Royal Arabic"/>
          <w:sz w:val="38"/>
          <w:szCs w:val="38"/>
          <w:rtl/>
        </w:rPr>
        <w:t xml:space="preserve"> 19/9/1428</w:t>
      </w:r>
      <w:r w:rsidR="000A1ADA" w:rsidRPr="000A1ADA">
        <w:rPr>
          <w:rFonts w:ascii="Traditional Arabic" w:eastAsia="Times New Roman" w:hAnsi="Traditional Arabic" w:cs="Royal Arabic" w:hint="cs"/>
          <w:sz w:val="38"/>
          <w:szCs w:val="38"/>
          <w:rtl/>
        </w:rPr>
        <w:t>هـ، حيث نصت على أنه: (ل</w:t>
      </w:r>
      <w:r w:rsidR="000A1ADA">
        <w:rPr>
          <w:rFonts w:ascii="Traditional Arabic" w:eastAsia="Times New Roman" w:hAnsi="Traditional Arabic" w:cs="Royal Arabic" w:hint="cs"/>
          <w:sz w:val="38"/>
          <w:szCs w:val="38"/>
          <w:rtl/>
        </w:rPr>
        <w:t>ا</w:t>
      </w:r>
      <w:r w:rsidR="000A1ADA" w:rsidRPr="000A1ADA">
        <w:rPr>
          <w:rFonts w:ascii="Traditional Arabic" w:eastAsia="Times New Roman" w:hAnsi="Traditional Arabic" w:cs="Royal Arabic"/>
          <w:sz w:val="38"/>
          <w:szCs w:val="38"/>
          <w:rtl/>
        </w:rPr>
        <w:t xml:space="preserve"> يجوز لمحاكم ديوان المظالم النظر في الدعاوى المتعلقة بأعمال السيادة، أو النظر في الاعتراضات على ما تصدره المحاكم </w:t>
      </w:r>
      <w:r>
        <w:rPr>
          <w:rFonts w:ascii="Traditional Arabic" w:eastAsia="Times New Roman" w:hAnsi="Traditional Arabic" w:cs="Royal Arabic" w:hint="cs"/>
          <w:sz w:val="38"/>
          <w:szCs w:val="38"/>
          <w:rtl/>
        </w:rPr>
        <w:t>-</w:t>
      </w:r>
      <w:r w:rsidR="000A1ADA" w:rsidRPr="000A1ADA">
        <w:rPr>
          <w:rFonts w:ascii="Traditional Arabic" w:eastAsia="Times New Roman" w:hAnsi="Traditional Arabic" w:cs="Royal Arabic"/>
          <w:sz w:val="38"/>
          <w:szCs w:val="38"/>
          <w:rtl/>
        </w:rPr>
        <w:t>غير الخاضعة ل</w:t>
      </w:r>
      <w:r>
        <w:rPr>
          <w:rFonts w:ascii="Traditional Arabic" w:eastAsia="Times New Roman" w:hAnsi="Traditional Arabic" w:cs="Royal Arabic"/>
          <w:sz w:val="38"/>
          <w:szCs w:val="38"/>
          <w:rtl/>
        </w:rPr>
        <w:t>هذا النظام</w:t>
      </w:r>
      <w:r>
        <w:rPr>
          <w:rFonts w:ascii="Traditional Arabic" w:eastAsia="Times New Roman" w:hAnsi="Traditional Arabic" w:cs="Royal Arabic" w:hint="cs"/>
          <w:sz w:val="38"/>
          <w:szCs w:val="38"/>
          <w:rtl/>
        </w:rPr>
        <w:t>-</w:t>
      </w:r>
      <w:r w:rsidR="000A1ADA" w:rsidRPr="000A1ADA">
        <w:rPr>
          <w:rFonts w:ascii="Traditional Arabic" w:eastAsia="Times New Roman" w:hAnsi="Traditional Arabic" w:cs="Royal Arabic"/>
          <w:sz w:val="38"/>
          <w:szCs w:val="38"/>
          <w:rtl/>
        </w:rPr>
        <w:t xml:space="preserve"> من أحكام داخلة في ولايتها، أو ما يصدره المجلس الأعلى للقضاء ومجلس القضاء الإداري ومجلس النيابة </w:t>
      </w:r>
      <w:r w:rsidR="000A1ADA" w:rsidRPr="000A1ADA">
        <w:rPr>
          <w:rFonts w:ascii="Traditional Arabic" w:eastAsia="Times New Roman" w:hAnsi="Traditional Arabic" w:cs="Royal Arabic"/>
          <w:sz w:val="38"/>
          <w:szCs w:val="38"/>
          <w:rtl/>
        </w:rPr>
        <w:lastRenderedPageBreak/>
        <w:t>العامة من قرارا</w:t>
      </w:r>
      <w:r w:rsidR="000A1ADA" w:rsidRPr="000A1ADA">
        <w:rPr>
          <w:rFonts w:ascii="Traditional Arabic" w:eastAsia="Times New Roman" w:hAnsi="Traditional Arabic" w:cs="Royal Arabic" w:hint="cs"/>
          <w:sz w:val="38"/>
          <w:szCs w:val="38"/>
          <w:rtl/>
        </w:rPr>
        <w:t>ت)</w:t>
      </w:r>
      <w:r w:rsidR="007E0DC5">
        <w:rPr>
          <w:rFonts w:ascii="Traditional Arabic" w:eastAsia="Times New Roman" w:hAnsi="Traditional Arabic" w:cs="Royal Arabic" w:hint="cs"/>
          <w:sz w:val="38"/>
          <w:szCs w:val="38"/>
          <w:rtl/>
        </w:rPr>
        <w:t>. كما نبين لمقام الدائرة أن ما ي</w:t>
      </w:r>
      <w:r w:rsidR="00372578"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سعى إليه </w:t>
      </w:r>
      <w:r w:rsidR="007E0DC5"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المدعي من طلب رفع الحجز عن حسابه البنكي، لا محل له، </w:t>
      </w:r>
      <w:r w:rsidR="00372578">
        <w:rPr>
          <w:rFonts w:ascii="Traditional Arabic" w:eastAsia="Times New Roman" w:hAnsi="Traditional Arabic" w:cs="Royal Arabic" w:hint="cs"/>
          <w:sz w:val="38"/>
          <w:szCs w:val="38"/>
          <w:rtl/>
        </w:rPr>
        <w:t>إذ</w:t>
      </w:r>
      <w:r w:rsidR="007E0DC5"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 ورد</w:t>
      </w:r>
      <w:r w:rsidR="00372578">
        <w:rPr>
          <w:rFonts w:ascii="Traditional Arabic" w:eastAsia="Times New Roman" w:hAnsi="Traditional Arabic" w:cs="Royal Arabic" w:hint="cs"/>
          <w:sz w:val="38"/>
          <w:szCs w:val="38"/>
          <w:rtl/>
        </w:rPr>
        <w:t>تنا</w:t>
      </w:r>
      <w:r w:rsidR="007E0DC5"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 إفادة </w:t>
      </w:r>
      <w:r w:rsidR="00372578"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من </w:t>
      </w:r>
      <w:r w:rsidR="007E0DC5"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الجهة المختصة </w:t>
      </w:r>
      <w:r w:rsidR="00372578">
        <w:rPr>
          <w:rFonts w:ascii="Traditional Arabic" w:eastAsia="Times New Roman" w:hAnsi="Traditional Arabic" w:cs="Royal Arabic" w:hint="cs"/>
          <w:sz w:val="38"/>
          <w:szCs w:val="38"/>
          <w:rtl/>
        </w:rPr>
        <w:t>«</w:t>
      </w:r>
      <w:r w:rsidR="007E0DC5">
        <w:rPr>
          <w:rFonts w:ascii="Traditional Arabic" w:eastAsia="Times New Roman" w:hAnsi="Traditional Arabic" w:cs="Royal Arabic" w:hint="cs"/>
          <w:sz w:val="38"/>
          <w:szCs w:val="38"/>
          <w:rtl/>
        </w:rPr>
        <w:t>محكمة التنفيذ الإدارية</w:t>
      </w:r>
      <w:r w:rsidR="00372578">
        <w:rPr>
          <w:rFonts w:ascii="Traditional Arabic" w:eastAsia="Times New Roman" w:hAnsi="Traditional Arabic" w:cs="Royal Arabic" w:hint="cs"/>
          <w:sz w:val="38"/>
          <w:szCs w:val="38"/>
          <w:rtl/>
        </w:rPr>
        <w:t>»</w:t>
      </w:r>
      <w:r w:rsidR="007E0DC5"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 </w:t>
      </w:r>
      <w:r w:rsidR="00372578"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تفيد بأن </w:t>
      </w:r>
      <w:r w:rsidR="007E0DC5">
        <w:rPr>
          <w:rFonts w:ascii="Traditional Arabic" w:eastAsia="Times New Roman" w:hAnsi="Traditional Arabic" w:cs="Royal Arabic" w:hint="cs"/>
          <w:sz w:val="38"/>
          <w:szCs w:val="38"/>
          <w:rtl/>
        </w:rPr>
        <w:t>الدائرة الرابعة عشرة</w:t>
      </w:r>
      <w:r w:rsidR="00372578">
        <w:rPr>
          <w:rFonts w:ascii="Traditional Arabic" w:eastAsia="Times New Roman" w:hAnsi="Traditional Arabic" w:cs="Royal Arabic" w:hint="cs"/>
          <w:sz w:val="38"/>
          <w:szCs w:val="38"/>
          <w:rtl/>
        </w:rPr>
        <w:t>،</w:t>
      </w:r>
      <w:r w:rsidR="007E0DC5"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 المعنية ب</w:t>
      </w:r>
      <w:r w:rsidR="00372578"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نظر </w:t>
      </w:r>
      <w:r w:rsidR="007E0DC5"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إجراءات طلب التنفيذ أصدرت </w:t>
      </w:r>
      <w:r w:rsidR="005D1F64">
        <w:rPr>
          <w:rFonts w:ascii="Traditional Arabic" w:eastAsia="Times New Roman" w:hAnsi="Traditional Arabic" w:cs="Royal Arabic" w:hint="cs"/>
          <w:sz w:val="38"/>
          <w:szCs w:val="38"/>
          <w:rtl/>
        </w:rPr>
        <w:t>أمرين</w:t>
      </w:r>
      <w:r w:rsidR="007E0DC5"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 </w:t>
      </w:r>
      <w:r w:rsidR="005D1F64">
        <w:rPr>
          <w:rFonts w:ascii="Traditional Arabic" w:eastAsia="Times New Roman" w:hAnsi="Traditional Arabic" w:cs="Royal Arabic" w:hint="cs"/>
          <w:sz w:val="38"/>
          <w:szCs w:val="38"/>
          <w:rtl/>
        </w:rPr>
        <w:t>تضمنا</w:t>
      </w:r>
      <w:r w:rsidR="007E0DC5"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 رفع الحجز عن حسابه البنكي.</w:t>
      </w:r>
    </w:p>
    <w:p w:rsidR="00F56954" w:rsidRPr="00F56954" w:rsidRDefault="0005531A" w:rsidP="003025D4">
      <w:pPr>
        <w:jc w:val="both"/>
        <w:rPr>
          <w:rFonts w:ascii="Traditional Arabic" w:eastAsia="Times New Roman" w:hAnsi="Traditional Arabic" w:cs="Royal Arabic"/>
          <w:sz w:val="38"/>
          <w:szCs w:val="38"/>
          <w:rtl/>
        </w:rPr>
      </w:pPr>
      <w:r>
        <w:rPr>
          <w:rFonts w:ascii="Traditional Arabic" w:eastAsia="Times New Roman" w:hAnsi="Traditional Arabic" w:cs="Royal Arabic"/>
          <w:sz w:val="38"/>
          <w:szCs w:val="38"/>
          <w:rtl/>
        </w:rPr>
        <w:tab/>
      </w:r>
      <w:r w:rsidR="007E0DC5" w:rsidRPr="0005531A"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</w:rPr>
        <w:t>ثانياً</w:t>
      </w:r>
      <w:r w:rsidR="007E0DC5"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/ </w:t>
      </w:r>
      <w:r w:rsidR="00372578"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أما بشأن </w:t>
      </w:r>
      <w:r w:rsidR="000A1ADA">
        <w:rPr>
          <w:rFonts w:ascii="Traditional Arabic" w:eastAsia="Times New Roman" w:hAnsi="Traditional Arabic" w:cs="Royal Arabic" w:hint="cs"/>
          <w:sz w:val="38"/>
          <w:szCs w:val="38"/>
          <w:rtl/>
        </w:rPr>
        <w:t>مطالبة المدعي بمحاسبة المتسببين في التأخر في رفع الحجز عن حسابه البنكي</w:t>
      </w:r>
      <w:r w:rsidR="003025D4">
        <w:rPr>
          <w:rFonts w:ascii="Traditional Arabic" w:eastAsia="Times New Roman" w:hAnsi="Traditional Arabic" w:cs="Royal Arabic" w:hint="cs"/>
          <w:sz w:val="38"/>
          <w:szCs w:val="38"/>
          <w:rtl/>
        </w:rPr>
        <w:t>،</w:t>
      </w:r>
      <w:r w:rsidR="00372578"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 فإن</w:t>
      </w:r>
      <w:r w:rsidR="000A1ADA"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 اختصاص ديوان المظالم ينحصر ولايته في الفصل الدعاوى الواردة بالمادة (13) من نظام ديوان المظالم</w:t>
      </w:r>
      <w:r w:rsidR="000A1ADA" w:rsidRPr="000A1ADA"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 المشار إليه آنفاً</w:t>
      </w:r>
      <w:r w:rsidR="000A1ADA"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، وليس من ضمنها محاسبة أو مجازاة المقصر؛ </w:t>
      </w:r>
      <w:r w:rsidR="003025D4"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لذا </w:t>
      </w:r>
      <w:r w:rsidR="000A1ADA"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لا يختص </w:t>
      </w:r>
      <w:r w:rsidR="00F56954" w:rsidRPr="00F56954">
        <w:rPr>
          <w:rFonts w:ascii="Traditional Arabic" w:eastAsia="Times New Roman" w:hAnsi="Traditional Arabic" w:cs="Royal Arabic" w:hint="cs"/>
          <w:sz w:val="38"/>
          <w:szCs w:val="38"/>
          <w:rtl/>
        </w:rPr>
        <w:t>ديوان</w:t>
      </w:r>
      <w:r w:rsidR="000A1ADA"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 المظالم ب</w:t>
      </w:r>
      <w:r w:rsidR="00372578">
        <w:rPr>
          <w:rFonts w:ascii="Traditional Arabic" w:eastAsia="Times New Roman" w:hAnsi="Traditional Arabic" w:cs="Royal Arabic" w:hint="cs"/>
          <w:sz w:val="38"/>
          <w:szCs w:val="38"/>
          <w:rtl/>
        </w:rPr>
        <w:t>نظر هذا الطلب أو المطالبات المشار إليها آنفاً</w:t>
      </w:r>
      <w:r w:rsidR="00F56954" w:rsidRPr="00F56954">
        <w:rPr>
          <w:rFonts w:ascii="Traditional Arabic" w:eastAsia="Times New Roman" w:hAnsi="Traditional Arabic" w:cs="Royal Arabic" w:hint="cs"/>
          <w:sz w:val="38"/>
          <w:szCs w:val="38"/>
          <w:rtl/>
        </w:rPr>
        <w:t>.</w:t>
      </w:r>
    </w:p>
    <w:p w:rsidR="00400969" w:rsidRPr="00400969" w:rsidRDefault="0005531A" w:rsidP="001F45A0">
      <w:pPr>
        <w:jc w:val="both"/>
        <w:rPr>
          <w:rFonts w:ascii="Traditional Arabic" w:eastAsia="Times New Roman" w:hAnsi="Traditional Arabic" w:cs="Royal Arabic"/>
          <w:b/>
          <w:bCs/>
          <w:sz w:val="38"/>
          <w:szCs w:val="38"/>
          <w:rtl/>
        </w:rPr>
      </w:pPr>
      <w:r>
        <w:rPr>
          <w:rFonts w:ascii="Traditional Arabic" w:eastAsia="Times New Roman" w:hAnsi="Traditional Arabic" w:cs="Royal Arabic"/>
          <w:sz w:val="38"/>
          <w:szCs w:val="38"/>
          <w:rtl/>
        </w:rPr>
        <w:tab/>
      </w:r>
      <w:r w:rsidR="00F56954" w:rsidRPr="00F56954"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وقد </w:t>
      </w:r>
      <w:r w:rsidR="000A1ADA" w:rsidRPr="000A1ADA">
        <w:rPr>
          <w:rFonts w:ascii="Traditional Arabic" w:eastAsia="Times New Roman" w:hAnsi="Traditional Arabic" w:cs="Royal Arabic" w:hint="cs"/>
          <w:sz w:val="38"/>
          <w:szCs w:val="38"/>
          <w:rtl/>
        </w:rPr>
        <w:t>صدر في ذلك مبدأ المحكمة الإدارية العليا بالحكم الصادر في الاعتراض رقم (721)</w:t>
      </w:r>
      <w:r w:rsidR="00400969"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 لعام 1440هـ</w:t>
      </w:r>
      <w:r w:rsidR="000A1ADA" w:rsidRPr="000A1ADA"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 بتاريخ 17/2/1441هـ، والذي نص على: </w:t>
      </w:r>
      <w:r>
        <w:rPr>
          <w:rFonts w:ascii="Traditional Arabic" w:eastAsia="Times New Roman" w:hAnsi="Traditional Arabic" w:cs="Royal Arabic" w:hint="cs"/>
          <w:sz w:val="38"/>
          <w:szCs w:val="38"/>
          <w:rtl/>
        </w:rPr>
        <w:t>(خروج الأعمال التنظيمية والقضائية وأعمال الس</w:t>
      </w:r>
      <w:r>
        <w:rPr>
          <w:rFonts w:ascii="Traditional Arabic" w:eastAsia="Times New Roman" w:hAnsi="Traditional Arabic" w:cs="Royal Arabic" w:hint="cs"/>
          <w:sz w:val="38"/>
          <w:szCs w:val="38"/>
          <w:rtl/>
        </w:rPr>
        <w:t>يادة من اختصاص المحاكم الإدارية</w:t>
      </w:r>
      <w:r>
        <w:rPr>
          <w:rFonts w:ascii="Traditional Arabic" w:eastAsia="Times New Roman" w:hAnsi="Traditional Arabic" w:cs="Royal Arabic" w:hint="cs"/>
          <w:sz w:val="38"/>
          <w:szCs w:val="38"/>
          <w:rtl/>
        </w:rPr>
        <w:t>)</w:t>
      </w:r>
      <w:r w:rsidR="000A1ADA"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 وكذلك صدور مبدأ </w:t>
      </w:r>
      <w:r w:rsidR="00400969" w:rsidRPr="00400969">
        <w:rPr>
          <w:rFonts w:ascii="Traditional Arabic" w:eastAsia="Times New Roman" w:hAnsi="Traditional Arabic" w:cs="Royal Arabic" w:hint="cs"/>
          <w:sz w:val="38"/>
          <w:szCs w:val="38"/>
          <w:rtl/>
        </w:rPr>
        <w:t>المحكمة الإدارية العليا بالحكم الصادر في الاعتراض رقم (</w:t>
      </w:r>
      <w:r w:rsidR="00400969">
        <w:rPr>
          <w:rFonts w:ascii="Traditional Arabic" w:eastAsia="Times New Roman" w:hAnsi="Traditional Arabic" w:cs="Royal Arabic" w:hint="cs"/>
          <w:sz w:val="38"/>
          <w:szCs w:val="38"/>
          <w:rtl/>
        </w:rPr>
        <w:t>4303</w:t>
      </w:r>
      <w:r w:rsidR="00400969" w:rsidRPr="00400969">
        <w:rPr>
          <w:rFonts w:ascii="Traditional Arabic" w:eastAsia="Times New Roman" w:hAnsi="Traditional Arabic" w:cs="Royal Arabic" w:hint="cs"/>
          <w:sz w:val="38"/>
          <w:szCs w:val="38"/>
          <w:rtl/>
        </w:rPr>
        <w:t>) لعام 144</w:t>
      </w:r>
      <w:r w:rsidR="00400969">
        <w:rPr>
          <w:rFonts w:ascii="Traditional Arabic" w:eastAsia="Times New Roman" w:hAnsi="Traditional Arabic" w:cs="Royal Arabic" w:hint="cs"/>
          <w:sz w:val="38"/>
          <w:szCs w:val="38"/>
          <w:rtl/>
        </w:rPr>
        <w:t>4</w:t>
      </w:r>
      <w:r w:rsidR="00400969" w:rsidRPr="00400969">
        <w:rPr>
          <w:rFonts w:ascii="Traditional Arabic" w:eastAsia="Times New Roman" w:hAnsi="Traditional Arabic" w:cs="Royal Arabic" w:hint="cs"/>
          <w:sz w:val="38"/>
          <w:szCs w:val="38"/>
          <w:rtl/>
        </w:rPr>
        <w:t>هـ بتاريخ 7/</w:t>
      </w:r>
      <w:r w:rsidR="00400969">
        <w:rPr>
          <w:rFonts w:ascii="Traditional Arabic" w:eastAsia="Times New Roman" w:hAnsi="Traditional Arabic" w:cs="Royal Arabic" w:hint="cs"/>
          <w:sz w:val="38"/>
          <w:szCs w:val="38"/>
          <w:rtl/>
        </w:rPr>
        <w:t>11</w:t>
      </w:r>
      <w:r w:rsidR="00400969" w:rsidRPr="00400969">
        <w:rPr>
          <w:rFonts w:ascii="Traditional Arabic" w:eastAsia="Times New Roman" w:hAnsi="Traditional Arabic" w:cs="Royal Arabic" w:hint="cs"/>
          <w:sz w:val="38"/>
          <w:szCs w:val="38"/>
          <w:rtl/>
        </w:rPr>
        <w:t>/144</w:t>
      </w:r>
      <w:r w:rsidR="00400969">
        <w:rPr>
          <w:rFonts w:ascii="Traditional Arabic" w:eastAsia="Times New Roman" w:hAnsi="Traditional Arabic" w:cs="Royal Arabic" w:hint="cs"/>
          <w:sz w:val="38"/>
          <w:szCs w:val="38"/>
          <w:rtl/>
        </w:rPr>
        <w:t>5</w:t>
      </w:r>
      <w:r w:rsidR="00400969" w:rsidRPr="00400969">
        <w:rPr>
          <w:rFonts w:ascii="Traditional Arabic" w:eastAsia="Times New Roman" w:hAnsi="Traditional Arabic" w:cs="Royal Arabic" w:hint="cs"/>
          <w:sz w:val="38"/>
          <w:szCs w:val="38"/>
          <w:rtl/>
        </w:rPr>
        <w:t>هـ</w:t>
      </w:r>
      <w:r w:rsidR="00400969"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، بشأن دعوى التعويض المقامة ضد وزارة العدل بسبب الإجراء الخاطئ الذي قام به قاضي التنفيذ، </w:t>
      </w:r>
      <w:r w:rsidR="00400969" w:rsidRPr="00400969">
        <w:rPr>
          <w:rFonts w:ascii="Traditional Arabic" w:eastAsia="Times New Roman" w:hAnsi="Traditional Arabic" w:cs="Royal Arabic" w:hint="cs"/>
          <w:sz w:val="38"/>
          <w:szCs w:val="38"/>
          <w:rtl/>
        </w:rPr>
        <w:t>والذي نص على</w:t>
      </w:r>
      <w:r w:rsidR="00400969"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 أن: </w:t>
      </w:r>
      <w:r w:rsidR="00400969" w:rsidRPr="00400969">
        <w:rPr>
          <w:rFonts w:ascii="Traditional Arabic" w:eastAsia="Times New Roman" w:hAnsi="Traditional Arabic" w:cs="Royal Arabic" w:hint="cs"/>
          <w:sz w:val="38"/>
          <w:szCs w:val="38"/>
          <w:rtl/>
        </w:rPr>
        <w:t>(</w:t>
      </w:r>
      <w:r w:rsidRPr="0005531A">
        <w:rPr>
          <w:rFonts w:ascii="Traditional Arabic" w:eastAsia="Times New Roman" w:hAnsi="Traditional Arabic" w:cs="Royal Arabic"/>
          <w:sz w:val="38"/>
          <w:szCs w:val="38"/>
          <w:rtl/>
        </w:rPr>
        <w:t xml:space="preserve">المنازعة الماثلة تتعلق بطلب المعترض ضده التعويض عن الإجراء الخاطئ الذي قام به </w:t>
      </w:r>
      <w:r w:rsidRPr="0005531A">
        <w:rPr>
          <w:rFonts w:ascii="Traditional Arabic" w:eastAsia="Times New Roman" w:hAnsi="Traditional Arabic" w:cs="Royal Arabic"/>
          <w:b/>
          <w:bCs/>
          <w:sz w:val="38"/>
          <w:szCs w:val="38"/>
          <w:rtl/>
        </w:rPr>
        <w:t>قاضي محكمة التنفيذ</w:t>
      </w:r>
      <w:r w:rsidRPr="0005531A">
        <w:rPr>
          <w:rFonts w:ascii="Traditional Arabic" w:eastAsia="Times New Roman" w:hAnsi="Traditional Arabic" w:cs="Royal Arabic"/>
          <w:sz w:val="38"/>
          <w:szCs w:val="38"/>
          <w:rtl/>
        </w:rPr>
        <w:t xml:space="preserve"> بجده، وحيث إنه ولئن كانت المعترضة تشرف إدارياً ومالياً على محكمة التنفيذ</w:t>
      </w:r>
      <w:r>
        <w:rPr>
          <w:rFonts w:ascii="Traditional Arabic" w:eastAsia="Times New Roman" w:hAnsi="Traditional Arabic" w:cs="Royal Arabic"/>
          <w:sz w:val="38"/>
          <w:szCs w:val="38"/>
          <w:rtl/>
        </w:rPr>
        <w:t xml:space="preserve"> الإداري بجده وفقاً للمادة</w:t>
      </w:r>
      <w:r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 71 </w:t>
      </w:r>
      <w:r w:rsidRPr="0005531A">
        <w:rPr>
          <w:rFonts w:ascii="Traditional Arabic" w:eastAsia="Times New Roman" w:hAnsi="Traditional Arabic" w:cs="Royal Arabic" w:hint="cs"/>
          <w:sz w:val="38"/>
          <w:szCs w:val="38"/>
          <w:rtl/>
        </w:rPr>
        <w:t>من</w:t>
      </w:r>
      <w:r w:rsidRPr="0005531A">
        <w:rPr>
          <w:rFonts w:ascii="Traditional Arabic" w:eastAsia="Times New Roman" w:hAnsi="Traditional Arabic" w:cs="Royal Arabic"/>
          <w:sz w:val="38"/>
          <w:szCs w:val="38"/>
          <w:rtl/>
        </w:rPr>
        <w:t xml:space="preserve"> </w:t>
      </w:r>
      <w:r w:rsidRPr="0005531A">
        <w:rPr>
          <w:rFonts w:ascii="Traditional Arabic" w:eastAsia="Times New Roman" w:hAnsi="Traditional Arabic" w:cs="Royal Arabic" w:hint="cs"/>
          <w:sz w:val="38"/>
          <w:szCs w:val="38"/>
          <w:rtl/>
        </w:rPr>
        <w:t>نظام</w:t>
      </w:r>
      <w:r w:rsidRPr="0005531A">
        <w:rPr>
          <w:rFonts w:ascii="Traditional Arabic" w:eastAsia="Times New Roman" w:hAnsi="Traditional Arabic" w:cs="Royal Arabic"/>
          <w:sz w:val="38"/>
          <w:szCs w:val="38"/>
          <w:rtl/>
        </w:rPr>
        <w:t xml:space="preserve"> </w:t>
      </w:r>
      <w:r w:rsidRPr="0005531A">
        <w:rPr>
          <w:rFonts w:ascii="Traditional Arabic" w:eastAsia="Times New Roman" w:hAnsi="Traditional Arabic" w:cs="Royal Arabic" w:hint="cs"/>
          <w:sz w:val="38"/>
          <w:szCs w:val="38"/>
          <w:rtl/>
        </w:rPr>
        <w:t>القضاء</w:t>
      </w:r>
      <w:r w:rsidRPr="0005531A">
        <w:rPr>
          <w:rFonts w:ascii="Traditional Arabic" w:eastAsia="Times New Roman" w:hAnsi="Traditional Arabic" w:cs="Royal Arabic"/>
          <w:sz w:val="38"/>
          <w:szCs w:val="38"/>
          <w:rtl/>
        </w:rPr>
        <w:t xml:space="preserve"> </w:t>
      </w:r>
      <w:r w:rsidRPr="0005531A">
        <w:rPr>
          <w:rFonts w:ascii="Traditional Arabic" w:eastAsia="Times New Roman" w:hAnsi="Traditional Arabic" w:cs="Royal Arabic" w:hint="cs"/>
          <w:sz w:val="38"/>
          <w:szCs w:val="38"/>
          <w:rtl/>
        </w:rPr>
        <w:t>التي</w:t>
      </w:r>
      <w:r w:rsidRPr="0005531A">
        <w:rPr>
          <w:rFonts w:ascii="Traditional Arabic" w:eastAsia="Times New Roman" w:hAnsi="Traditional Arabic" w:cs="Royal Arabic"/>
          <w:sz w:val="38"/>
          <w:szCs w:val="38"/>
          <w:rtl/>
        </w:rPr>
        <w:t xml:space="preserve"> </w:t>
      </w:r>
      <w:r w:rsidRPr="0005531A">
        <w:rPr>
          <w:rFonts w:ascii="Traditional Arabic" w:eastAsia="Times New Roman" w:hAnsi="Traditional Arabic" w:cs="Royal Arabic" w:hint="cs"/>
          <w:sz w:val="38"/>
          <w:szCs w:val="38"/>
          <w:rtl/>
        </w:rPr>
        <w:t>تنص</w:t>
      </w:r>
      <w:r w:rsidRPr="0005531A">
        <w:rPr>
          <w:rFonts w:ascii="Traditional Arabic" w:eastAsia="Times New Roman" w:hAnsi="Traditional Arabic" w:cs="Royal Arabic"/>
          <w:sz w:val="38"/>
          <w:szCs w:val="38"/>
          <w:rtl/>
        </w:rPr>
        <w:t xml:space="preserve"> </w:t>
      </w:r>
      <w:r w:rsidRPr="0005531A">
        <w:rPr>
          <w:rFonts w:ascii="Traditional Arabic" w:eastAsia="Times New Roman" w:hAnsi="Traditional Arabic" w:cs="Royal Arabic" w:hint="cs"/>
          <w:sz w:val="38"/>
          <w:szCs w:val="38"/>
          <w:rtl/>
        </w:rPr>
        <w:t>على</w:t>
      </w:r>
      <w:r w:rsidR="001F45A0">
        <w:rPr>
          <w:rFonts w:ascii="Traditional Arabic" w:eastAsia="Times New Roman" w:hAnsi="Traditional Arabic" w:cs="Royal Arabic"/>
          <w:sz w:val="38"/>
          <w:szCs w:val="38"/>
          <w:rtl/>
        </w:rPr>
        <w:t>:</w:t>
      </w:r>
      <w:r w:rsidR="001F45A0"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 1- </w:t>
      </w:r>
      <w:r w:rsidRPr="0005531A">
        <w:rPr>
          <w:rFonts w:ascii="Traditional Arabic" w:eastAsia="Times New Roman" w:hAnsi="Traditional Arabic" w:cs="Royal Arabic" w:hint="cs"/>
          <w:sz w:val="38"/>
          <w:szCs w:val="38"/>
          <w:rtl/>
        </w:rPr>
        <w:t>مع</w:t>
      </w:r>
      <w:r w:rsidRPr="0005531A">
        <w:rPr>
          <w:rFonts w:ascii="Traditional Arabic" w:eastAsia="Times New Roman" w:hAnsi="Traditional Arabic" w:cs="Royal Arabic"/>
          <w:sz w:val="38"/>
          <w:szCs w:val="38"/>
          <w:rtl/>
        </w:rPr>
        <w:t xml:space="preserve"> عدم الإخلال بالأحكام المنصوص عليها في هذا النظام، تتولى وزارة العدل الإشراف الإداري والمالي على </w:t>
      </w:r>
      <w:r>
        <w:rPr>
          <w:rFonts w:ascii="Traditional Arabic" w:eastAsia="Times New Roman" w:hAnsi="Traditional Arabic" w:cs="Royal Arabic"/>
          <w:sz w:val="38"/>
          <w:szCs w:val="38"/>
          <w:rtl/>
        </w:rPr>
        <w:t>المحاكم وكتابات العدل،</w:t>
      </w:r>
      <w:r w:rsidRPr="0005531A">
        <w:rPr>
          <w:rFonts w:ascii="Traditional Arabic" w:eastAsia="Times New Roman" w:hAnsi="Traditional Arabic" w:cs="Royal Arabic"/>
          <w:sz w:val="38"/>
          <w:szCs w:val="38"/>
          <w:rtl/>
        </w:rPr>
        <w:t xml:space="preserve"> </w:t>
      </w:r>
      <w:r w:rsidRPr="0005531A">
        <w:rPr>
          <w:rFonts w:ascii="Traditional Arabic" w:eastAsia="Times New Roman" w:hAnsi="Traditional Arabic" w:cs="Royal Arabic"/>
          <w:b/>
          <w:bCs/>
          <w:sz w:val="38"/>
          <w:szCs w:val="38"/>
          <w:rtl/>
        </w:rPr>
        <w:t xml:space="preserve">ولما كان ما يتخذه القاضي من إجراءات وهو بصدد نظره </w:t>
      </w:r>
      <w:r w:rsidRPr="0005531A">
        <w:rPr>
          <w:rFonts w:ascii="Traditional Arabic" w:eastAsia="Times New Roman" w:hAnsi="Traditional Arabic" w:cs="Royal Arabic"/>
          <w:b/>
          <w:bCs/>
          <w:sz w:val="38"/>
          <w:szCs w:val="38"/>
          <w:rtl/>
        </w:rPr>
        <w:lastRenderedPageBreak/>
        <w:t xml:space="preserve">القضائي وما يصدره من أوامر وقرارات وأحكام مما يدخل في ولايته القضائية، </w:t>
      </w:r>
      <w:r w:rsidRPr="0005531A">
        <w:rPr>
          <w:rFonts w:ascii="Traditional Arabic" w:eastAsia="Times New Roman" w:hAnsi="Traditional Arabic" w:cs="Royal Arabic"/>
          <w:sz w:val="38"/>
          <w:szCs w:val="38"/>
          <w:rtl/>
        </w:rPr>
        <w:t>في استقلال تام عن إشراف المعترضة وفقاً للمادة (</w:t>
      </w:r>
      <w:r w:rsidRPr="0005531A">
        <w:rPr>
          <w:rFonts w:ascii="Traditional Arabic" w:eastAsia="Times New Roman" w:hAnsi="Traditional Arabic" w:cs="Royal Arabic" w:hint="cs"/>
          <w:sz w:val="38"/>
          <w:szCs w:val="38"/>
          <w:rtl/>
        </w:rPr>
        <w:t>1</w:t>
      </w:r>
      <w:r w:rsidRPr="0005531A">
        <w:rPr>
          <w:rFonts w:ascii="Traditional Arabic" w:eastAsia="Times New Roman" w:hAnsi="Traditional Arabic" w:cs="Royal Arabic"/>
          <w:sz w:val="38"/>
          <w:szCs w:val="38"/>
          <w:rtl/>
        </w:rPr>
        <w:t xml:space="preserve">) </w:t>
      </w:r>
      <w:r w:rsidRPr="0005531A">
        <w:rPr>
          <w:rFonts w:ascii="Traditional Arabic" w:eastAsia="Times New Roman" w:hAnsi="Traditional Arabic" w:cs="Royal Arabic" w:hint="cs"/>
          <w:sz w:val="38"/>
          <w:szCs w:val="38"/>
          <w:rtl/>
        </w:rPr>
        <w:t>من</w:t>
      </w:r>
      <w:r w:rsidRPr="0005531A">
        <w:rPr>
          <w:rFonts w:ascii="Traditional Arabic" w:eastAsia="Times New Roman" w:hAnsi="Traditional Arabic" w:cs="Royal Arabic"/>
          <w:sz w:val="38"/>
          <w:szCs w:val="38"/>
          <w:rtl/>
        </w:rPr>
        <w:t xml:space="preserve"> </w:t>
      </w:r>
      <w:r w:rsidRPr="0005531A">
        <w:rPr>
          <w:rFonts w:ascii="Traditional Arabic" w:eastAsia="Times New Roman" w:hAnsi="Traditional Arabic" w:cs="Royal Arabic" w:hint="cs"/>
          <w:sz w:val="38"/>
          <w:szCs w:val="38"/>
          <w:rtl/>
        </w:rPr>
        <w:t>نظام</w:t>
      </w:r>
      <w:r w:rsidRPr="0005531A">
        <w:rPr>
          <w:rFonts w:ascii="Traditional Arabic" w:eastAsia="Times New Roman" w:hAnsi="Traditional Arabic" w:cs="Royal Arabic"/>
          <w:sz w:val="38"/>
          <w:szCs w:val="38"/>
          <w:rtl/>
        </w:rPr>
        <w:t xml:space="preserve"> </w:t>
      </w:r>
      <w:r w:rsidRPr="0005531A">
        <w:rPr>
          <w:rFonts w:ascii="Traditional Arabic" w:eastAsia="Times New Roman" w:hAnsi="Traditional Arabic" w:cs="Royal Arabic" w:hint="cs"/>
          <w:sz w:val="38"/>
          <w:szCs w:val="38"/>
          <w:rtl/>
        </w:rPr>
        <w:t>القضاء</w:t>
      </w:r>
      <w:r w:rsidRPr="0005531A">
        <w:rPr>
          <w:rFonts w:ascii="Traditional Arabic" w:eastAsia="Times New Roman" w:hAnsi="Traditional Arabic" w:cs="Royal Arabic"/>
          <w:sz w:val="38"/>
          <w:szCs w:val="38"/>
          <w:rtl/>
        </w:rPr>
        <w:t xml:space="preserve"> </w:t>
      </w:r>
      <w:r w:rsidRPr="0005531A">
        <w:rPr>
          <w:rFonts w:ascii="Traditional Arabic" w:eastAsia="Times New Roman" w:hAnsi="Traditional Arabic" w:cs="Royal Arabic" w:hint="cs"/>
          <w:sz w:val="38"/>
          <w:szCs w:val="38"/>
          <w:rtl/>
        </w:rPr>
        <w:t>التي</w:t>
      </w:r>
      <w:r w:rsidRPr="0005531A">
        <w:rPr>
          <w:rFonts w:ascii="Traditional Arabic" w:eastAsia="Times New Roman" w:hAnsi="Traditional Arabic" w:cs="Royal Arabic"/>
          <w:sz w:val="38"/>
          <w:szCs w:val="38"/>
          <w:rtl/>
        </w:rPr>
        <w:t xml:space="preserve"> </w:t>
      </w:r>
      <w:r w:rsidRPr="0005531A">
        <w:rPr>
          <w:rFonts w:ascii="Traditional Arabic" w:eastAsia="Times New Roman" w:hAnsi="Traditional Arabic" w:cs="Royal Arabic" w:hint="cs"/>
          <w:sz w:val="38"/>
          <w:szCs w:val="38"/>
          <w:rtl/>
        </w:rPr>
        <w:t>تنص</w:t>
      </w:r>
      <w:r w:rsidRPr="0005531A">
        <w:rPr>
          <w:rFonts w:ascii="Traditional Arabic" w:eastAsia="Times New Roman" w:hAnsi="Traditional Arabic" w:cs="Royal Arabic"/>
          <w:sz w:val="38"/>
          <w:szCs w:val="38"/>
          <w:rtl/>
        </w:rPr>
        <w:t xml:space="preserve"> </w:t>
      </w:r>
      <w:r w:rsidRPr="0005531A">
        <w:rPr>
          <w:rFonts w:ascii="Traditional Arabic" w:eastAsia="Times New Roman" w:hAnsi="Traditional Arabic" w:cs="Royal Arabic" w:hint="cs"/>
          <w:sz w:val="38"/>
          <w:szCs w:val="38"/>
          <w:rtl/>
        </w:rPr>
        <w:t>على</w:t>
      </w:r>
      <w:r w:rsidRPr="0005531A">
        <w:rPr>
          <w:rFonts w:ascii="Traditional Arabic" w:eastAsia="Times New Roman" w:hAnsi="Traditional Arabic" w:cs="Royal Arabic"/>
          <w:sz w:val="38"/>
          <w:szCs w:val="38"/>
          <w:rtl/>
        </w:rPr>
        <w:t xml:space="preserve"> </w:t>
      </w:r>
      <w:r w:rsidRPr="0005531A">
        <w:rPr>
          <w:rFonts w:ascii="Traditional Arabic" w:eastAsia="Times New Roman" w:hAnsi="Traditional Arabic" w:cs="Royal Arabic" w:hint="cs"/>
          <w:sz w:val="38"/>
          <w:szCs w:val="38"/>
          <w:rtl/>
        </w:rPr>
        <w:t>أن</w:t>
      </w:r>
      <w:r w:rsidRPr="0005531A">
        <w:rPr>
          <w:rFonts w:ascii="Traditional Arabic" w:eastAsia="Times New Roman" w:hAnsi="Traditional Arabic" w:cs="Royal Arabic"/>
          <w:sz w:val="38"/>
          <w:szCs w:val="38"/>
          <w:rtl/>
        </w:rPr>
        <w:t xml:space="preserve">: </w:t>
      </w:r>
      <w:r w:rsidRPr="0005531A">
        <w:rPr>
          <w:rFonts w:ascii="Traditional Arabic" w:eastAsia="Times New Roman" w:hAnsi="Traditional Arabic" w:cs="Royal Arabic" w:hint="cs"/>
          <w:sz w:val="38"/>
          <w:szCs w:val="38"/>
          <w:rtl/>
        </w:rPr>
        <w:t>القضاة</w:t>
      </w:r>
      <w:r w:rsidRPr="0005531A">
        <w:rPr>
          <w:rFonts w:ascii="Traditional Arabic" w:eastAsia="Times New Roman" w:hAnsi="Traditional Arabic" w:cs="Royal Arabic"/>
          <w:sz w:val="38"/>
          <w:szCs w:val="38"/>
          <w:rtl/>
        </w:rPr>
        <w:t xml:space="preserve"> </w:t>
      </w:r>
      <w:r w:rsidRPr="0005531A">
        <w:rPr>
          <w:rFonts w:ascii="Traditional Arabic" w:eastAsia="Times New Roman" w:hAnsi="Traditional Arabic" w:cs="Royal Arabic" w:hint="cs"/>
          <w:sz w:val="38"/>
          <w:szCs w:val="38"/>
          <w:rtl/>
        </w:rPr>
        <w:t>مستقلون،</w:t>
      </w:r>
      <w:r w:rsidRPr="0005531A">
        <w:rPr>
          <w:rFonts w:ascii="Traditional Arabic" w:eastAsia="Times New Roman" w:hAnsi="Traditional Arabic" w:cs="Royal Arabic"/>
          <w:sz w:val="38"/>
          <w:szCs w:val="38"/>
          <w:rtl/>
        </w:rPr>
        <w:t xml:space="preserve"> </w:t>
      </w:r>
      <w:r w:rsidRPr="0005531A">
        <w:rPr>
          <w:rFonts w:ascii="Traditional Arabic" w:eastAsia="Times New Roman" w:hAnsi="Traditional Arabic" w:cs="Royal Arabic" w:hint="cs"/>
          <w:sz w:val="38"/>
          <w:szCs w:val="38"/>
          <w:rtl/>
        </w:rPr>
        <w:t>لا</w:t>
      </w:r>
      <w:r w:rsidRPr="0005531A">
        <w:rPr>
          <w:rFonts w:ascii="Traditional Arabic" w:eastAsia="Times New Roman" w:hAnsi="Traditional Arabic" w:cs="Royal Arabic"/>
          <w:sz w:val="38"/>
          <w:szCs w:val="38"/>
          <w:rtl/>
        </w:rPr>
        <w:t xml:space="preserve"> </w:t>
      </w:r>
      <w:r w:rsidRPr="0005531A">
        <w:rPr>
          <w:rFonts w:ascii="Traditional Arabic" w:eastAsia="Times New Roman" w:hAnsi="Traditional Arabic" w:cs="Royal Arabic" w:hint="cs"/>
          <w:sz w:val="38"/>
          <w:szCs w:val="38"/>
          <w:rtl/>
        </w:rPr>
        <w:t>سلطان</w:t>
      </w:r>
      <w:r w:rsidRPr="0005531A">
        <w:rPr>
          <w:rFonts w:ascii="Traditional Arabic" w:eastAsia="Times New Roman" w:hAnsi="Traditional Arabic" w:cs="Royal Arabic"/>
          <w:sz w:val="38"/>
          <w:szCs w:val="38"/>
          <w:rtl/>
        </w:rPr>
        <w:t xml:space="preserve"> </w:t>
      </w:r>
      <w:r w:rsidRPr="0005531A">
        <w:rPr>
          <w:rFonts w:ascii="Traditional Arabic" w:eastAsia="Times New Roman" w:hAnsi="Traditional Arabic" w:cs="Royal Arabic" w:hint="cs"/>
          <w:sz w:val="38"/>
          <w:szCs w:val="38"/>
          <w:rtl/>
        </w:rPr>
        <w:t>عليهم</w:t>
      </w:r>
      <w:r w:rsidRPr="0005531A">
        <w:rPr>
          <w:rFonts w:ascii="Traditional Arabic" w:eastAsia="Times New Roman" w:hAnsi="Traditional Arabic" w:cs="Royal Arabic"/>
          <w:sz w:val="38"/>
          <w:szCs w:val="38"/>
          <w:rtl/>
        </w:rPr>
        <w:t xml:space="preserve"> </w:t>
      </w:r>
      <w:r w:rsidRPr="0005531A">
        <w:rPr>
          <w:rFonts w:ascii="Traditional Arabic" w:eastAsia="Times New Roman" w:hAnsi="Traditional Arabic" w:cs="Royal Arabic" w:hint="cs"/>
          <w:sz w:val="38"/>
          <w:szCs w:val="38"/>
          <w:rtl/>
        </w:rPr>
        <w:t>في</w:t>
      </w:r>
      <w:r w:rsidRPr="0005531A">
        <w:rPr>
          <w:rFonts w:ascii="Traditional Arabic" w:eastAsia="Times New Roman" w:hAnsi="Traditional Arabic" w:cs="Royal Arabic"/>
          <w:sz w:val="38"/>
          <w:szCs w:val="38"/>
          <w:rtl/>
        </w:rPr>
        <w:t xml:space="preserve"> </w:t>
      </w:r>
      <w:r w:rsidRPr="0005531A">
        <w:rPr>
          <w:rFonts w:ascii="Traditional Arabic" w:eastAsia="Times New Roman" w:hAnsi="Traditional Arabic" w:cs="Royal Arabic" w:hint="cs"/>
          <w:sz w:val="38"/>
          <w:szCs w:val="38"/>
          <w:rtl/>
        </w:rPr>
        <w:t>قضائهم</w:t>
      </w:r>
      <w:r w:rsidRPr="0005531A">
        <w:rPr>
          <w:rFonts w:ascii="Traditional Arabic" w:eastAsia="Times New Roman" w:hAnsi="Traditional Arabic" w:cs="Royal Arabic"/>
          <w:sz w:val="38"/>
          <w:szCs w:val="38"/>
          <w:rtl/>
        </w:rPr>
        <w:t xml:space="preserve"> </w:t>
      </w:r>
      <w:r w:rsidRPr="0005531A">
        <w:rPr>
          <w:rFonts w:ascii="Traditional Arabic" w:eastAsia="Times New Roman" w:hAnsi="Traditional Arabic" w:cs="Royal Arabic" w:hint="cs"/>
          <w:sz w:val="38"/>
          <w:szCs w:val="38"/>
          <w:rtl/>
        </w:rPr>
        <w:t>لغير</w:t>
      </w:r>
      <w:r w:rsidRPr="0005531A">
        <w:rPr>
          <w:rFonts w:ascii="Traditional Arabic" w:eastAsia="Times New Roman" w:hAnsi="Traditional Arabic" w:cs="Royal Arabic"/>
          <w:sz w:val="38"/>
          <w:szCs w:val="38"/>
          <w:rtl/>
        </w:rPr>
        <w:t xml:space="preserve"> </w:t>
      </w:r>
      <w:r w:rsidRPr="0005531A">
        <w:rPr>
          <w:rFonts w:ascii="Traditional Arabic" w:eastAsia="Times New Roman" w:hAnsi="Traditional Arabic" w:cs="Royal Arabic" w:hint="cs"/>
          <w:sz w:val="38"/>
          <w:szCs w:val="38"/>
          <w:rtl/>
        </w:rPr>
        <w:t>أحكام</w:t>
      </w:r>
      <w:r w:rsidRPr="0005531A">
        <w:rPr>
          <w:rFonts w:ascii="Traditional Arabic" w:eastAsia="Times New Roman" w:hAnsi="Traditional Arabic" w:cs="Royal Arabic"/>
          <w:sz w:val="38"/>
          <w:szCs w:val="38"/>
          <w:rtl/>
        </w:rPr>
        <w:t xml:space="preserve"> </w:t>
      </w:r>
      <w:r w:rsidRPr="0005531A">
        <w:rPr>
          <w:rFonts w:ascii="Traditional Arabic" w:eastAsia="Times New Roman" w:hAnsi="Traditional Arabic" w:cs="Royal Arabic" w:hint="cs"/>
          <w:sz w:val="38"/>
          <w:szCs w:val="38"/>
          <w:rtl/>
        </w:rPr>
        <w:t>الشريعة</w:t>
      </w:r>
      <w:r w:rsidRPr="0005531A">
        <w:rPr>
          <w:rFonts w:ascii="Traditional Arabic" w:eastAsia="Times New Roman" w:hAnsi="Traditional Arabic" w:cs="Royal Arabic"/>
          <w:sz w:val="38"/>
          <w:szCs w:val="38"/>
          <w:rtl/>
        </w:rPr>
        <w:t xml:space="preserve"> الإسلامية والأنظمة المرع</w:t>
      </w:r>
      <w:r w:rsidRPr="0005531A">
        <w:rPr>
          <w:rFonts w:ascii="Traditional Arabic" w:eastAsia="Times New Roman" w:hAnsi="Traditional Arabic" w:cs="Royal Arabic"/>
          <w:sz w:val="38"/>
          <w:szCs w:val="38"/>
          <w:rtl/>
        </w:rPr>
        <w:t>ية، وليس لأحد التدخل في القضاء،</w:t>
      </w:r>
      <w:r w:rsidRPr="0005531A">
        <w:rPr>
          <w:rFonts w:ascii="Traditional Arabic" w:eastAsia="Times New Roman" w:hAnsi="Traditional Arabic" w:cs="Royal Arabic"/>
          <w:sz w:val="38"/>
          <w:szCs w:val="38"/>
          <w:rtl/>
        </w:rPr>
        <w:t xml:space="preserve"> وحيث نص</w:t>
      </w:r>
      <w:r w:rsidRPr="0005531A">
        <w:rPr>
          <w:rFonts w:ascii="Traditional Arabic" w:eastAsia="Times New Roman" w:hAnsi="Traditional Arabic" w:cs="Royal Arabic"/>
          <w:sz w:val="38"/>
          <w:szCs w:val="38"/>
          <w:rtl/>
        </w:rPr>
        <w:t>ت المادة</w:t>
      </w:r>
      <w:r w:rsidRPr="0005531A"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 14 </w:t>
      </w:r>
      <w:r w:rsidRPr="0005531A">
        <w:rPr>
          <w:rFonts w:ascii="Traditional Arabic" w:eastAsia="Times New Roman" w:hAnsi="Traditional Arabic" w:cs="Royal Arabic" w:hint="cs"/>
          <w:sz w:val="38"/>
          <w:szCs w:val="38"/>
          <w:rtl/>
        </w:rPr>
        <w:t>من</w:t>
      </w:r>
      <w:r w:rsidRPr="0005531A">
        <w:rPr>
          <w:rFonts w:ascii="Traditional Arabic" w:eastAsia="Times New Roman" w:hAnsi="Traditional Arabic" w:cs="Royal Arabic"/>
          <w:sz w:val="38"/>
          <w:szCs w:val="38"/>
          <w:rtl/>
        </w:rPr>
        <w:t xml:space="preserve"> </w:t>
      </w:r>
      <w:r w:rsidRPr="0005531A">
        <w:rPr>
          <w:rFonts w:ascii="Traditional Arabic" w:eastAsia="Times New Roman" w:hAnsi="Traditional Arabic" w:cs="Royal Arabic" w:hint="cs"/>
          <w:sz w:val="38"/>
          <w:szCs w:val="38"/>
          <w:rtl/>
        </w:rPr>
        <w:t>نظام</w:t>
      </w:r>
      <w:r w:rsidRPr="0005531A">
        <w:rPr>
          <w:rFonts w:ascii="Traditional Arabic" w:eastAsia="Times New Roman" w:hAnsi="Traditional Arabic" w:cs="Royal Arabic"/>
          <w:sz w:val="38"/>
          <w:szCs w:val="38"/>
          <w:rtl/>
        </w:rPr>
        <w:t xml:space="preserve"> </w:t>
      </w:r>
      <w:r w:rsidRPr="0005531A">
        <w:rPr>
          <w:rFonts w:ascii="Traditional Arabic" w:eastAsia="Times New Roman" w:hAnsi="Traditional Arabic" w:cs="Royal Arabic" w:hint="cs"/>
          <w:sz w:val="38"/>
          <w:szCs w:val="38"/>
          <w:rtl/>
        </w:rPr>
        <w:t>ديوان</w:t>
      </w:r>
      <w:r w:rsidRPr="0005531A">
        <w:rPr>
          <w:rFonts w:ascii="Traditional Arabic" w:eastAsia="Times New Roman" w:hAnsi="Traditional Arabic" w:cs="Royal Arabic"/>
          <w:sz w:val="38"/>
          <w:szCs w:val="38"/>
          <w:rtl/>
        </w:rPr>
        <w:t xml:space="preserve"> المظالم على أنه: </w:t>
      </w:r>
      <w:r w:rsidRPr="0005531A">
        <w:rPr>
          <w:rFonts w:ascii="Traditional Arabic" w:eastAsia="Times New Roman" w:hAnsi="Traditional Arabic" w:cs="Royal Arabic" w:hint="cs"/>
          <w:sz w:val="38"/>
          <w:szCs w:val="38"/>
          <w:rtl/>
        </w:rPr>
        <w:t>"</w:t>
      </w:r>
      <w:r w:rsidRPr="0005531A">
        <w:rPr>
          <w:rFonts w:ascii="Traditional Arabic" w:eastAsia="Times New Roman" w:hAnsi="Traditional Arabic" w:cs="Royal Arabic"/>
          <w:sz w:val="38"/>
          <w:szCs w:val="38"/>
          <w:rtl/>
        </w:rPr>
        <w:t>لا يجوز لمحاكم ديوان المظالم النظر في الدعاوى المتعلقة بأعمال السيادة، أو النظر في الاعتراضات على ما تصدره المحاكم - غير الخاضعة لهذا النظام - من أحكام داخلة في ولايتها، أو ما يصدره المجلس الأعلى للقضاء ومجلس القضاء الإداري ومجلس النيابة العامة من قرارات.</w:t>
      </w:r>
      <w:r w:rsidRPr="0005531A">
        <w:rPr>
          <w:rFonts w:ascii="Traditional Arabic" w:eastAsia="Times New Roman" w:hAnsi="Traditional Arabic" w:cs="Royal Arabic" w:hint="cs"/>
          <w:sz w:val="38"/>
          <w:szCs w:val="38"/>
          <w:rtl/>
        </w:rPr>
        <w:t>"</w:t>
      </w:r>
      <w:r w:rsidRPr="0005531A">
        <w:rPr>
          <w:rFonts w:ascii="Traditional Arabic" w:eastAsia="Times New Roman" w:hAnsi="Traditional Arabic" w:cs="Royal Arabic"/>
          <w:sz w:val="38"/>
          <w:szCs w:val="38"/>
          <w:rtl/>
        </w:rPr>
        <w:t xml:space="preserve"> ولما كان الحكم المعترض عليه قد فصل في موضوع الدعوى بالمخالفة لما تقدم؛ فإنه يكون معيباً بالخطأ في تطبيق</w:t>
      </w:r>
      <w:r w:rsidRPr="0005531A"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 النظام</w:t>
      </w:r>
      <w:r w:rsidR="00400969" w:rsidRPr="00400969">
        <w:rPr>
          <w:rFonts w:ascii="Traditional Arabic" w:eastAsia="Times New Roman" w:hAnsi="Traditional Arabic" w:cs="Royal Arabic" w:hint="cs"/>
          <w:sz w:val="38"/>
          <w:szCs w:val="38"/>
          <w:rtl/>
        </w:rPr>
        <w:t>)</w:t>
      </w:r>
      <w:r>
        <w:rPr>
          <w:rFonts w:ascii="Traditional Arabic" w:eastAsia="Times New Roman" w:hAnsi="Traditional Arabic" w:cs="Royal Arabic" w:hint="cs"/>
          <w:sz w:val="38"/>
          <w:szCs w:val="38"/>
          <w:rtl/>
        </w:rPr>
        <w:t>،</w:t>
      </w:r>
      <w:r w:rsidR="00400969"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 </w:t>
      </w:r>
      <w:r w:rsidR="00400969" w:rsidRPr="00400969"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</w:rPr>
        <w:t>وعليه</w:t>
      </w:r>
      <w:r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</w:rPr>
        <w:t>؛</w:t>
      </w:r>
      <w:r w:rsidR="001F45A0"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</w:rPr>
        <w:t xml:space="preserve"> فإن </w:t>
      </w:r>
      <w:bookmarkStart w:id="0" w:name="_GoBack"/>
      <w:bookmarkEnd w:id="0"/>
      <w:r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</w:rPr>
        <w:t>ديوان</w:t>
      </w:r>
      <w:r w:rsidR="001F45A0"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</w:rPr>
        <w:t xml:space="preserve"> المظالم</w:t>
      </w:r>
      <w:r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</w:rPr>
        <w:t xml:space="preserve"> يطلب الحكم: بعدم اختصاص </w:t>
      </w:r>
      <w:r w:rsidR="00400969" w:rsidRPr="00400969"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</w:rPr>
        <w:t xml:space="preserve">محاكم </w:t>
      </w:r>
      <w:r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</w:rPr>
        <w:t>ديوان المظالم</w:t>
      </w:r>
      <w:r w:rsidR="00400969" w:rsidRPr="00400969"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</w:rPr>
        <w:t xml:space="preserve"> </w:t>
      </w:r>
      <w:proofErr w:type="spellStart"/>
      <w:r w:rsidR="00400969" w:rsidRPr="00400969"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</w:rPr>
        <w:t>ولائياً</w:t>
      </w:r>
      <w:proofErr w:type="spellEnd"/>
      <w:r w:rsidR="00400969" w:rsidRPr="00400969"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</w:rPr>
        <w:t xml:space="preserve"> بنظر الدعوى.</w:t>
      </w:r>
    </w:p>
    <w:p w:rsidR="00277920" w:rsidRDefault="00277920" w:rsidP="00277920">
      <w:pPr>
        <w:widowControl w:val="0"/>
        <w:spacing w:after="0" w:line="420" w:lineRule="exact"/>
        <w:jc w:val="both"/>
        <w:rPr>
          <w:rFonts w:ascii="Traditional Arabic" w:eastAsia="Times New Roman" w:hAnsi="Traditional Arabic" w:cs="Royal Arabic"/>
          <w:sz w:val="38"/>
          <w:szCs w:val="38"/>
          <w:rtl/>
        </w:rPr>
      </w:pPr>
    </w:p>
    <w:p w:rsidR="00277920" w:rsidRDefault="00277920" w:rsidP="00277920">
      <w:pPr>
        <w:widowControl w:val="0"/>
        <w:spacing w:after="0" w:line="144" w:lineRule="auto"/>
        <w:ind w:left="5760" w:hanging="658"/>
        <w:jc w:val="center"/>
        <w:rPr>
          <w:rFonts w:ascii="Traditional Arabic" w:eastAsia="Times New Roman" w:hAnsi="Traditional Arabic" w:cs="Royal Arabic"/>
          <w:b/>
          <w:bCs/>
          <w:sz w:val="38"/>
          <w:szCs w:val="38"/>
          <w:rtl/>
          <w:lang w:bidi="ar-JO"/>
        </w:rPr>
      </w:pPr>
      <w:r>
        <w:rPr>
          <w:rFonts w:ascii="Traditional Arabic" w:eastAsia="Times New Roman" w:hAnsi="Traditional Arabic" w:cs="Royal Arabic" w:hint="cs"/>
          <w:sz w:val="38"/>
          <w:szCs w:val="38"/>
          <w:rtl/>
          <w:lang w:bidi="ar-JO"/>
        </w:rPr>
        <w:t xml:space="preserve">      </w:t>
      </w:r>
      <w:r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  <w:lang w:bidi="ar-JO"/>
        </w:rPr>
        <w:t xml:space="preserve">ممثلة ديوان المظالم </w:t>
      </w:r>
    </w:p>
    <w:p w:rsidR="00277920" w:rsidRDefault="00277920" w:rsidP="00277920">
      <w:pPr>
        <w:widowControl w:val="0"/>
        <w:spacing w:after="0" w:line="144" w:lineRule="auto"/>
        <w:ind w:left="5760" w:hanging="658"/>
        <w:jc w:val="center"/>
        <w:rPr>
          <w:rFonts w:ascii="Traditional Arabic" w:eastAsia="Times New Roman" w:hAnsi="Traditional Arabic" w:cs="Royal Arabic"/>
          <w:b/>
          <w:bCs/>
          <w:sz w:val="38"/>
          <w:szCs w:val="38"/>
          <w:rtl/>
          <w:lang w:bidi="ar-JO"/>
        </w:rPr>
      </w:pPr>
    </w:p>
    <w:p w:rsidR="00277920" w:rsidRPr="003025D4" w:rsidRDefault="00277920" w:rsidP="003025D4">
      <w:pPr>
        <w:widowControl w:val="0"/>
        <w:spacing w:after="0" w:line="144" w:lineRule="auto"/>
        <w:ind w:left="5760" w:hanging="658"/>
        <w:jc w:val="center"/>
        <w:rPr>
          <w:rFonts w:ascii="Traditional Arabic" w:eastAsia="Times New Roman" w:hAnsi="Traditional Arabic" w:cs="Royal Arabic"/>
          <w:sz w:val="38"/>
          <w:szCs w:val="38"/>
          <w:rtl/>
          <w:lang w:bidi="ar-JO"/>
        </w:rPr>
      </w:pPr>
      <w:r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  <w:lang w:bidi="ar-JO"/>
        </w:rPr>
        <w:t xml:space="preserve">     </w:t>
      </w:r>
      <w:r w:rsidR="00127F16"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  <w:lang w:bidi="ar-JO"/>
        </w:rPr>
        <w:t>حصة بنت محمد المهنا</w:t>
      </w:r>
      <w:r>
        <w:rPr>
          <w:rFonts w:ascii="Traditional Arabic" w:eastAsia="Times New Roman" w:hAnsi="Traditional Arabic" w:cs="Royal Arabic" w:hint="cs"/>
          <w:sz w:val="38"/>
          <w:szCs w:val="38"/>
          <w:rtl/>
          <w:lang w:bidi="ar-JO"/>
        </w:rPr>
        <w:t xml:space="preserve"> </w:t>
      </w:r>
    </w:p>
    <w:p w:rsidR="00902FB4" w:rsidRDefault="00902FB4"/>
    <w:sectPr w:rsidR="00902FB4" w:rsidSect="00734402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Royal Arabic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7920"/>
    <w:rsid w:val="00036E14"/>
    <w:rsid w:val="0005531A"/>
    <w:rsid w:val="000A1ADA"/>
    <w:rsid w:val="00127F16"/>
    <w:rsid w:val="00137BAD"/>
    <w:rsid w:val="001F45A0"/>
    <w:rsid w:val="00277920"/>
    <w:rsid w:val="003025D4"/>
    <w:rsid w:val="00306B4D"/>
    <w:rsid w:val="00372578"/>
    <w:rsid w:val="00400969"/>
    <w:rsid w:val="004F545B"/>
    <w:rsid w:val="005D1F64"/>
    <w:rsid w:val="00734402"/>
    <w:rsid w:val="007E0DC5"/>
    <w:rsid w:val="00902FB4"/>
    <w:rsid w:val="00BD66CC"/>
    <w:rsid w:val="00DC7698"/>
    <w:rsid w:val="00F56954"/>
    <w:rsid w:val="00FD5E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6989312-F68E-4850-9B74-90BC1F022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77920"/>
    <w:pPr>
      <w:bidi/>
      <w:spacing w:after="200" w:line="276" w:lineRule="auto"/>
    </w:pPr>
    <w:rPr>
      <w:rFonts w:ascii="Calibri" w:eastAsia="Calibri" w:hAnsi="Calibri" w:cs="Ari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9520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1</Pages>
  <Words>539</Words>
  <Characters>3078</Characters>
  <Application>Microsoft Office Word</Application>
  <DocSecurity>0</DocSecurity>
  <Lines>25</Lines>
  <Paragraphs>7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BOG</Company>
  <LinksUpToDate>false</LinksUpToDate>
  <CharactersWithSpaces>3610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عبدالناصر سعود عبدالله آل حسين التميمي</dc:creator>
  <cp:keywords/>
  <dc:description/>
  <cp:lastModifiedBy>عزام بن عبدالعزيز محمد مبارك</cp:lastModifiedBy>
  <cp:revision>16</cp:revision>
  <cp:lastPrinted>2026-01-06T08:49:00Z</cp:lastPrinted>
  <dcterms:created xsi:type="dcterms:W3CDTF">2025-12-29T05:56:00Z</dcterms:created>
  <dcterms:modified xsi:type="dcterms:W3CDTF">2026-01-06T08:50:00Z</dcterms:modified>
</cp:coreProperties>
</file>