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F634" w14:textId="77777777" w:rsidR="00307B08" w:rsidRDefault="00307B08" w:rsidP="00765481">
      <w:pPr>
        <w:widowControl w:val="0"/>
        <w:spacing w:line="420" w:lineRule="exact"/>
        <w:ind w:hanging="1"/>
        <w:jc w:val="center"/>
        <w:rPr>
          <w:rFonts w:ascii="Traditional Arabic" w:hAnsi="Traditional Arabic" w:cs="Royal Arabic"/>
          <w:sz w:val="44"/>
          <w:szCs w:val="44"/>
          <w:rtl/>
          <w:lang w:bidi="ar-JO"/>
        </w:rPr>
      </w:pPr>
      <w:r w:rsidRPr="006A01BE">
        <w:rPr>
          <w:rFonts w:ascii="Traditional Arabic" w:hAnsi="Traditional Arabic" w:cs="Royal Arabic" w:hint="cs"/>
          <w:sz w:val="44"/>
          <w:szCs w:val="44"/>
          <w:rtl/>
          <w:lang w:bidi="ar-JO"/>
        </w:rPr>
        <w:t xml:space="preserve">مذكرة </w:t>
      </w:r>
      <w:r w:rsidR="00FC4ACE">
        <w:rPr>
          <w:rFonts w:ascii="Traditional Arabic" w:hAnsi="Traditional Arabic" w:cs="Royal Arabic" w:hint="cs"/>
          <w:sz w:val="44"/>
          <w:szCs w:val="44"/>
          <w:rtl/>
          <w:lang w:bidi="ar-JO"/>
        </w:rPr>
        <w:t>الرد</w:t>
      </w:r>
      <w:r w:rsidRPr="006A01BE">
        <w:rPr>
          <w:rFonts w:ascii="Traditional Arabic" w:hAnsi="Traditional Arabic" w:cs="Royal Arabic" w:hint="cs"/>
          <w:sz w:val="44"/>
          <w:szCs w:val="44"/>
          <w:rtl/>
          <w:lang w:bidi="ar-JO"/>
        </w:rPr>
        <w:t xml:space="preserve"> على </w:t>
      </w:r>
      <w:r w:rsidR="00765481">
        <w:rPr>
          <w:rFonts w:ascii="Traditional Arabic" w:hAnsi="Traditional Arabic" w:cs="Royal Arabic" w:hint="cs"/>
          <w:sz w:val="44"/>
          <w:szCs w:val="44"/>
          <w:rtl/>
          <w:lang w:bidi="ar-JO"/>
        </w:rPr>
        <w:t>صحيفة اعتراض</w:t>
      </w:r>
    </w:p>
    <w:p w14:paraId="293FF013" w14:textId="178F60E3" w:rsidR="00307B08" w:rsidRPr="00307B08" w:rsidRDefault="00307B08" w:rsidP="008D4916">
      <w:pPr>
        <w:widowControl w:val="0"/>
        <w:spacing w:after="0" w:line="420" w:lineRule="exact"/>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w:t>
      </w:r>
      <w:r w:rsidR="008D4916">
        <w:rPr>
          <w:rFonts w:ascii="Traditional Arabic" w:hAnsi="Traditional Arabic" w:cs="Royal Arabic" w:hint="cs"/>
          <w:sz w:val="44"/>
          <w:szCs w:val="44"/>
          <w:rtl/>
          <w:lang w:bidi="ar-JO"/>
        </w:rPr>
        <w:t xml:space="preserve"> المحكمة</w:t>
      </w:r>
      <w:r w:rsidRPr="00307B08">
        <w:rPr>
          <w:rFonts w:ascii="Traditional Arabic" w:hAnsi="Traditional Arabic" w:cs="Royal Arabic" w:hint="cs"/>
          <w:sz w:val="44"/>
          <w:szCs w:val="44"/>
          <w:rtl/>
          <w:lang w:bidi="ar-JO"/>
        </w:rPr>
        <w:t xml:space="preserve"> الإدارية </w:t>
      </w:r>
      <w:r w:rsidR="00765481">
        <w:rPr>
          <w:rFonts w:ascii="Traditional Arabic" w:hAnsi="Traditional Arabic" w:cs="Royal Arabic" w:hint="cs"/>
          <w:sz w:val="44"/>
          <w:szCs w:val="44"/>
          <w:rtl/>
          <w:lang w:bidi="ar-JO"/>
        </w:rPr>
        <w:t>العليا</w:t>
      </w:r>
      <w:r w:rsidRPr="00307B08">
        <w:rPr>
          <w:rFonts w:ascii="Traditional Arabic" w:hAnsi="Traditional Arabic" w:cs="Royal Arabic" w:hint="cs"/>
          <w:sz w:val="44"/>
          <w:szCs w:val="44"/>
          <w:rtl/>
          <w:lang w:bidi="ar-JO"/>
        </w:rPr>
        <w:t>.</w:t>
      </w:r>
    </w:p>
    <w:p w14:paraId="14E9D1CF" w14:textId="47D7603E" w:rsidR="007C253D" w:rsidRPr="00307B08" w:rsidRDefault="00307B08" w:rsidP="00765481">
      <w:pPr>
        <w:widowControl w:val="0"/>
        <w:spacing w:after="0" w:line="420" w:lineRule="exact"/>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00765481">
        <w:rPr>
          <w:rFonts w:ascii="Traditional Arabic" w:eastAsia="Times New Roman" w:hAnsi="Traditional Arabic" w:cs="Royal Arabic" w:hint="cs"/>
          <w:sz w:val="44"/>
          <w:szCs w:val="44"/>
          <w:rtl/>
          <w:lang w:bidi="ar-JO"/>
        </w:rPr>
        <w:t>الاعتراض</w:t>
      </w:r>
      <w:r w:rsidRPr="00307B08">
        <w:rPr>
          <w:rFonts w:ascii="Traditional Arabic" w:hAnsi="Traditional Arabic" w:cs="Royal Arabic" w:hint="cs"/>
          <w:sz w:val="44"/>
          <w:szCs w:val="44"/>
          <w:rtl/>
          <w:lang w:bidi="ar-JO"/>
        </w:rPr>
        <w:t xml:space="preserve">: </w:t>
      </w:r>
      <w:r w:rsidR="008D4916">
        <w:rPr>
          <w:rFonts w:ascii="Traditional Arabic" w:hAnsi="Traditional Arabic" w:cs="Royal Arabic" w:hint="cs"/>
          <w:sz w:val="44"/>
          <w:szCs w:val="44"/>
          <w:rtl/>
          <w:lang w:bidi="ar-JO"/>
        </w:rPr>
        <w:t>٩٢٩٩</w:t>
      </w:r>
      <w:r w:rsidRPr="00307B08">
        <w:rPr>
          <w:rFonts w:ascii="Traditional Arabic" w:hAnsi="Traditional Arabic" w:cs="Royal Arabic" w:hint="cs"/>
          <w:sz w:val="44"/>
          <w:szCs w:val="44"/>
          <w:rtl/>
          <w:lang w:bidi="ar-JO"/>
        </w:rPr>
        <w:t xml:space="preserve"> لعام </w:t>
      </w:r>
      <w:r w:rsidR="008D4916">
        <w:rPr>
          <w:rFonts w:ascii="Traditional Arabic" w:hAnsi="Traditional Arabic" w:cs="Royal Arabic" w:hint="cs"/>
          <w:sz w:val="44"/>
          <w:szCs w:val="44"/>
          <w:rtl/>
          <w:lang w:bidi="ar-JO"/>
        </w:rPr>
        <w:t>١٤٤٦</w:t>
      </w:r>
      <w:r w:rsidR="006B5B5C">
        <w:rPr>
          <w:rFonts w:ascii="Traditional Arabic" w:hAnsi="Traditional Arabic" w:cs="Royal Arabic" w:hint="cs"/>
          <w:sz w:val="44"/>
          <w:szCs w:val="44"/>
          <w:rtl/>
          <w:lang w:bidi="ar-JO"/>
        </w:rPr>
        <w:t>هـ</w:t>
      </w:r>
    </w:p>
    <w:p w14:paraId="6922C1EC" w14:textId="3030B419" w:rsidR="00307B08" w:rsidRDefault="000648C9" w:rsidP="00765481">
      <w:pPr>
        <w:widowControl w:val="0"/>
        <w:spacing w:after="0" w:line="420" w:lineRule="exact"/>
        <w:ind w:hanging="1"/>
        <w:jc w:val="lowKashida"/>
        <w:rPr>
          <w:rFonts w:asciiTheme="minorBidi" w:hAnsiTheme="minorBidi" w:cs="Royal Arabic"/>
          <w:sz w:val="44"/>
          <w:szCs w:val="44"/>
          <w:rtl/>
        </w:rPr>
      </w:pPr>
      <w:r>
        <w:rPr>
          <w:rFonts w:asciiTheme="minorBidi" w:hAnsiTheme="minorBidi" w:cs="Royal Arabic" w:hint="cs"/>
          <w:sz w:val="44"/>
          <w:szCs w:val="44"/>
          <w:rtl/>
        </w:rPr>
        <w:t>موضوعه</w:t>
      </w:r>
      <w:r w:rsidR="00307B08" w:rsidRPr="00307B08">
        <w:rPr>
          <w:rFonts w:asciiTheme="minorBidi" w:hAnsiTheme="minorBidi" w:cs="Royal Arabic" w:hint="cs"/>
          <w:sz w:val="44"/>
          <w:szCs w:val="44"/>
          <w:rtl/>
        </w:rPr>
        <w:t>:</w:t>
      </w:r>
      <w:r w:rsidR="00307B08" w:rsidRPr="00307B08">
        <w:rPr>
          <w:rFonts w:asciiTheme="minorBidi" w:hAnsiTheme="minorBidi" w:cs="Royal Arabic" w:hint="cs"/>
          <w:b/>
          <w:bCs/>
          <w:sz w:val="44"/>
          <w:szCs w:val="44"/>
          <w:rtl/>
        </w:rPr>
        <w:t xml:space="preserve"> </w:t>
      </w:r>
      <w:r w:rsidR="00765481">
        <w:rPr>
          <w:rFonts w:asciiTheme="minorBidi" w:hAnsiTheme="minorBidi" w:cs="Royal Arabic" w:hint="cs"/>
          <w:sz w:val="44"/>
          <w:szCs w:val="44"/>
          <w:rtl/>
        </w:rPr>
        <w:t xml:space="preserve">طلب نقض حكم محكمة الاستئناف الإدارية بمنطقة الرياض رقم </w:t>
      </w:r>
      <w:r w:rsidR="008D4916">
        <w:rPr>
          <w:rFonts w:asciiTheme="minorBidi" w:hAnsiTheme="minorBidi" w:cs="Royal Arabic" w:hint="cs"/>
          <w:sz w:val="44"/>
          <w:szCs w:val="44"/>
          <w:rtl/>
        </w:rPr>
        <w:t>٦٩٨١</w:t>
      </w:r>
      <w:r w:rsidR="00765481">
        <w:rPr>
          <w:rFonts w:asciiTheme="minorBidi" w:hAnsiTheme="minorBidi" w:cs="Royal Arabic" w:hint="cs"/>
          <w:sz w:val="44"/>
          <w:szCs w:val="44"/>
          <w:rtl/>
        </w:rPr>
        <w:t xml:space="preserve"> لعام </w:t>
      </w:r>
      <w:r w:rsidR="008D4916">
        <w:rPr>
          <w:rFonts w:asciiTheme="minorBidi" w:hAnsiTheme="minorBidi" w:cs="Royal Arabic" w:hint="cs"/>
          <w:sz w:val="44"/>
          <w:szCs w:val="44"/>
          <w:rtl/>
        </w:rPr>
        <w:t>١٤٤٦</w:t>
      </w:r>
      <w:r w:rsidR="00765481">
        <w:rPr>
          <w:rFonts w:asciiTheme="minorBidi" w:hAnsiTheme="minorBidi" w:cs="Royal Arabic" w:hint="cs"/>
          <w:sz w:val="44"/>
          <w:szCs w:val="44"/>
          <w:rtl/>
        </w:rPr>
        <w:t>هـ</w:t>
      </w:r>
      <w:r w:rsidR="002A1361">
        <w:rPr>
          <w:rFonts w:asciiTheme="minorBidi" w:hAnsiTheme="minorBidi" w:cs="Royal Arabic" w:hint="cs"/>
          <w:sz w:val="44"/>
          <w:szCs w:val="44"/>
          <w:rtl/>
        </w:rPr>
        <w:t>.</w:t>
      </w:r>
    </w:p>
    <w:p w14:paraId="75765EC3" w14:textId="38556F77" w:rsidR="00307B08" w:rsidRDefault="00765481" w:rsidP="008D4916">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w:t>
      </w:r>
      <w:r w:rsidR="00307B08">
        <w:rPr>
          <w:rFonts w:asciiTheme="minorBidi" w:hAnsiTheme="minorBidi" w:cs="Royal Arabic" w:hint="cs"/>
          <w:sz w:val="44"/>
          <w:szCs w:val="44"/>
          <w:rtl/>
        </w:rPr>
        <w:t xml:space="preserve">: </w:t>
      </w:r>
      <w:r w:rsidR="008D4916" w:rsidRPr="008D4916">
        <w:rPr>
          <w:rFonts w:asciiTheme="minorBidi" w:hAnsiTheme="minorBidi" w:cs="Royal Arabic" w:hint="cs"/>
          <w:sz w:val="44"/>
          <w:szCs w:val="44"/>
          <w:rtl/>
        </w:rPr>
        <w:t>سعد سعيد عوض العنزي (هوية وطنية رقم</w:t>
      </w:r>
      <w:r w:rsidR="00307B08">
        <w:rPr>
          <w:rFonts w:asciiTheme="minorBidi" w:hAnsiTheme="minorBidi" w:cs="Royal Arabic" w:hint="cs"/>
          <w:sz w:val="44"/>
          <w:szCs w:val="44"/>
          <w:rtl/>
        </w:rPr>
        <w:t>/</w:t>
      </w:r>
      <w:r w:rsidR="008D4916">
        <w:rPr>
          <w:rFonts w:asciiTheme="minorBidi" w:hAnsiTheme="minorBidi" w:cs="Royal Arabic" w:hint="cs"/>
          <w:sz w:val="44"/>
          <w:szCs w:val="44"/>
          <w:rtl/>
        </w:rPr>
        <w:t xml:space="preserve"> ١٠٧٤٠٤٥٩٨٨</w:t>
      </w:r>
      <w:r w:rsidR="00307B08">
        <w:rPr>
          <w:rFonts w:asciiTheme="minorBidi" w:hAnsiTheme="minorBidi" w:cs="Royal Arabic" w:hint="cs"/>
          <w:sz w:val="44"/>
          <w:szCs w:val="44"/>
          <w:rtl/>
        </w:rPr>
        <w:t>)</w:t>
      </w:r>
    </w:p>
    <w:p w14:paraId="591E4B7C" w14:textId="77777777" w:rsidR="00307B08" w:rsidRDefault="00765481" w:rsidP="00BE2903">
      <w:pPr>
        <w:widowControl w:val="0"/>
        <w:spacing w:after="0" w:line="420" w:lineRule="exact"/>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المعترض ضدّه</w:t>
      </w:r>
      <w:r w:rsidR="00307B08">
        <w:rPr>
          <w:rFonts w:asciiTheme="minorBidi" w:hAnsiTheme="minorBidi" w:cs="Royal Arabic" w:hint="cs"/>
          <w:sz w:val="44"/>
          <w:szCs w:val="44"/>
          <w:rtl/>
        </w:rPr>
        <w:t xml:space="preserve">: </w:t>
      </w:r>
      <w:r w:rsidR="00BE2903">
        <w:rPr>
          <w:rFonts w:asciiTheme="minorBidi" w:hAnsiTheme="minorBidi" w:cs="Royal Arabic" w:hint="cs"/>
          <w:sz w:val="44"/>
          <w:szCs w:val="44"/>
          <w:rtl/>
        </w:rPr>
        <w:t>ديوان المظالم</w:t>
      </w:r>
      <w:r w:rsidR="00307B08">
        <w:rPr>
          <w:rFonts w:asciiTheme="minorBidi" w:hAnsiTheme="minorBidi" w:cs="Royal Arabic" w:hint="cs"/>
          <w:sz w:val="44"/>
          <w:szCs w:val="44"/>
          <w:rtl/>
        </w:rPr>
        <w:t>.</w:t>
      </w:r>
    </w:p>
    <w:p w14:paraId="7A42BC6B" w14:textId="77777777" w:rsidR="00307B08" w:rsidRPr="00307B08" w:rsidRDefault="00307B08" w:rsidP="00307B08">
      <w:pPr>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6D43560C" w14:textId="77777777" w:rsidR="00BE2903" w:rsidRPr="00E311BF" w:rsidRDefault="00BE2903" w:rsidP="00765481">
      <w:pPr>
        <w:widowControl w:val="0"/>
        <w:spacing w:after="0" w:line="240" w:lineRule="auto"/>
        <w:jc w:val="both"/>
        <w:rPr>
          <w:rFonts w:ascii="Traditional Arabic" w:eastAsia="Times New Roman" w:hAnsi="Traditional Arabic" w:cs="Royal Arabic"/>
          <w:sz w:val="38"/>
          <w:szCs w:val="38"/>
          <w:rtl/>
        </w:rPr>
      </w:pPr>
      <w:r w:rsidRPr="0051373F">
        <w:rPr>
          <w:rFonts w:ascii="Traditional Arabic" w:eastAsia="Times New Roman" w:hAnsi="Traditional Arabic" w:cs="Royal Arabic" w:hint="cs"/>
          <w:sz w:val="38"/>
          <w:szCs w:val="38"/>
          <w:rtl/>
        </w:rPr>
        <w:t xml:space="preserve">    </w:t>
      </w:r>
      <w:r w:rsidR="000E2911" w:rsidRPr="00E311BF">
        <w:rPr>
          <w:rFonts w:ascii="Traditional Arabic" w:eastAsia="Times New Roman" w:hAnsi="Traditional Arabic" w:cs="Royal Arabic" w:hint="cs"/>
          <w:sz w:val="38"/>
          <w:szCs w:val="38"/>
          <w:rtl/>
        </w:rPr>
        <w:t xml:space="preserve">يجيب الديوان </w:t>
      </w:r>
      <w:r w:rsidRPr="00E311BF">
        <w:rPr>
          <w:rFonts w:ascii="Traditional Arabic" w:eastAsia="Times New Roman" w:hAnsi="Traditional Arabic" w:cs="Royal Arabic" w:hint="cs"/>
          <w:sz w:val="38"/>
          <w:szCs w:val="38"/>
          <w:rtl/>
        </w:rPr>
        <w:t xml:space="preserve">على </w:t>
      </w:r>
      <w:r w:rsidR="00765481">
        <w:rPr>
          <w:rFonts w:ascii="Traditional Arabic" w:eastAsia="Times New Roman" w:hAnsi="Traditional Arabic" w:cs="Royal Arabic" w:hint="cs"/>
          <w:sz w:val="38"/>
          <w:szCs w:val="38"/>
          <w:rtl/>
        </w:rPr>
        <w:t>الاعتراض</w:t>
      </w:r>
      <w:r w:rsidRPr="00E311BF">
        <w:rPr>
          <w:rFonts w:ascii="Traditional Arabic" w:eastAsia="Times New Roman" w:hAnsi="Traditional Arabic" w:cs="Royal Arabic" w:hint="cs"/>
          <w:sz w:val="38"/>
          <w:szCs w:val="38"/>
          <w:rtl/>
        </w:rPr>
        <w:t xml:space="preserve"> بالآتي:</w:t>
      </w:r>
    </w:p>
    <w:p w14:paraId="4741C072" w14:textId="7497B095" w:rsidR="00765481" w:rsidRPr="008D4916" w:rsidRDefault="004C2D94" w:rsidP="008D4916">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A3EBF" w:rsidRPr="008D4916">
        <w:rPr>
          <w:rFonts w:ascii="Traditional Arabic" w:eastAsia="Times New Roman" w:hAnsi="Traditional Arabic" w:cs="Royal Arabic" w:hint="cs"/>
          <w:b/>
          <w:bCs/>
          <w:sz w:val="38"/>
          <w:szCs w:val="38"/>
          <w:rtl/>
        </w:rPr>
        <w:t>أولاً</w:t>
      </w:r>
      <w:r w:rsidR="008D4916">
        <w:rPr>
          <w:rFonts w:ascii="Traditional Arabic" w:eastAsia="Times New Roman" w:hAnsi="Traditional Arabic" w:cs="Royal Arabic" w:hint="cs"/>
          <w:b/>
          <w:bCs/>
          <w:sz w:val="38"/>
          <w:szCs w:val="38"/>
          <w:rtl/>
        </w:rPr>
        <w:t>:</w:t>
      </w:r>
      <w:r w:rsidR="0051373F" w:rsidRPr="008D4916">
        <w:rPr>
          <w:rFonts w:ascii="Traditional Arabic" w:eastAsia="Times New Roman" w:hAnsi="Traditional Arabic" w:cs="Royal Arabic" w:hint="cs"/>
          <w:sz w:val="38"/>
          <w:szCs w:val="38"/>
          <w:rtl/>
        </w:rPr>
        <w:t xml:space="preserve"> </w:t>
      </w:r>
      <w:r w:rsidR="007546C7">
        <w:rPr>
          <w:rFonts w:ascii="Traditional Arabic" w:eastAsia="Times New Roman" w:hAnsi="Traditional Arabic" w:cs="Royal Arabic" w:hint="cs"/>
          <w:sz w:val="38"/>
          <w:szCs w:val="38"/>
          <w:rtl/>
        </w:rPr>
        <w:t xml:space="preserve">لم يقم </w:t>
      </w:r>
      <w:r w:rsidR="007546C7">
        <w:rPr>
          <w:rFonts w:ascii="Traditional Arabic" w:eastAsia="Times New Roman" w:hAnsi="Traditional Arabic" w:cs="Royal Arabic" w:hint="cs"/>
          <w:sz w:val="38"/>
          <w:szCs w:val="38"/>
          <w:rtl/>
        </w:rPr>
        <w:t>ال</w:t>
      </w:r>
      <w:r w:rsidR="007546C7">
        <w:rPr>
          <w:rFonts w:ascii="Traditional Arabic" w:eastAsia="Times New Roman" w:hAnsi="Traditional Arabic" w:cs="Royal Arabic" w:hint="cs"/>
          <w:sz w:val="38"/>
          <w:szCs w:val="38"/>
          <w:rtl/>
        </w:rPr>
        <w:t>اعتراض على أي من الأحوال المنصوص عليها في المادة (</w:t>
      </w:r>
      <w:r w:rsidR="007546C7">
        <w:rPr>
          <w:rFonts w:ascii="Traditional Arabic" w:eastAsia="Times New Roman" w:hAnsi="Traditional Arabic" w:cs="Royal Arabic" w:hint="cs"/>
          <w:sz w:val="38"/>
          <w:szCs w:val="38"/>
          <w:rtl/>
        </w:rPr>
        <w:t>الحادية عشرة</w:t>
      </w:r>
      <w:r w:rsidR="007546C7">
        <w:rPr>
          <w:rFonts w:ascii="Traditional Arabic" w:eastAsia="Times New Roman" w:hAnsi="Traditional Arabic" w:cs="Royal Arabic" w:hint="cs"/>
          <w:sz w:val="38"/>
          <w:szCs w:val="38"/>
          <w:rtl/>
        </w:rPr>
        <w:t>) من نظام ديوان المظالم</w:t>
      </w:r>
      <w:r w:rsidR="007546C7">
        <w:rPr>
          <w:rFonts w:ascii="Traditional Arabic" w:eastAsia="Times New Roman" w:hAnsi="Traditional Arabic" w:cs="Royal Arabic" w:hint="cs"/>
          <w:sz w:val="38"/>
          <w:szCs w:val="38"/>
          <w:rtl/>
        </w:rPr>
        <w:t xml:space="preserve">؛ إذ إن المذكور لا يعد مخالفة للشريعة أو النظام، ولا خطأً في تكييف الواقعة وفقاً لما سيأتي.  </w:t>
      </w:r>
    </w:p>
    <w:p w14:paraId="23D8C1E6" w14:textId="2BB02AD8" w:rsidR="004C4983" w:rsidRPr="008D4916" w:rsidRDefault="004C2D94" w:rsidP="004C2D94">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765481" w:rsidRPr="008D4916">
        <w:rPr>
          <w:rFonts w:ascii="Traditional Arabic" w:eastAsia="Times New Roman" w:hAnsi="Traditional Arabic" w:cs="Royal Arabic" w:hint="cs"/>
          <w:b/>
          <w:bCs/>
          <w:sz w:val="38"/>
          <w:szCs w:val="38"/>
          <w:rtl/>
        </w:rPr>
        <w:t>ثانياً</w:t>
      </w:r>
      <w:r w:rsidR="008D4916">
        <w:rPr>
          <w:rFonts w:ascii="Traditional Arabic" w:eastAsia="Times New Roman" w:hAnsi="Traditional Arabic" w:cs="Royal Arabic" w:hint="cs"/>
          <w:b/>
          <w:bCs/>
          <w:sz w:val="38"/>
          <w:szCs w:val="38"/>
          <w:rtl/>
        </w:rPr>
        <w:t>:</w:t>
      </w:r>
      <w:r w:rsidR="004C4983" w:rsidRPr="008D4916">
        <w:rPr>
          <w:rFonts w:ascii="Traditional Arabic" w:eastAsia="Times New Roman" w:hAnsi="Traditional Arabic" w:cs="Royal Arabic" w:hint="cs"/>
          <w:sz w:val="38"/>
          <w:szCs w:val="38"/>
          <w:rtl/>
        </w:rPr>
        <w:t xml:space="preserve"> </w:t>
      </w:r>
      <w:r w:rsidR="008D4916" w:rsidRPr="008D4916">
        <w:rPr>
          <w:rFonts w:ascii="Traditional Arabic" w:eastAsia="Times New Roman" w:hAnsi="Traditional Arabic" w:cs="Royal Arabic" w:hint="cs"/>
          <w:sz w:val="38"/>
          <w:szCs w:val="38"/>
          <w:rtl/>
        </w:rPr>
        <w:t>يتمسّك الديوان</w:t>
      </w:r>
      <w:r w:rsidR="00C11254">
        <w:rPr>
          <w:rFonts w:ascii="Traditional Arabic" w:eastAsia="Times New Roman" w:hAnsi="Traditional Arabic" w:cs="Royal Arabic" w:hint="cs"/>
          <w:sz w:val="38"/>
          <w:szCs w:val="38"/>
          <w:rtl/>
        </w:rPr>
        <w:t xml:space="preserve"> بمذكرات الدفاع،</w:t>
      </w:r>
      <w:r w:rsidR="008D4916" w:rsidRPr="008D4916">
        <w:rPr>
          <w:rFonts w:ascii="Traditional Arabic" w:eastAsia="Times New Roman" w:hAnsi="Traditional Arabic" w:cs="Royal Arabic" w:hint="cs"/>
          <w:sz w:val="38"/>
          <w:szCs w:val="38"/>
          <w:rtl/>
        </w:rPr>
        <w:t xml:space="preserve"> </w:t>
      </w:r>
      <w:r w:rsidR="00C11254">
        <w:rPr>
          <w:rFonts w:ascii="Traditional Arabic" w:eastAsia="Times New Roman" w:hAnsi="Traditional Arabic" w:cs="Royal Arabic" w:hint="cs"/>
          <w:sz w:val="38"/>
          <w:szCs w:val="38"/>
          <w:rtl/>
        </w:rPr>
        <w:t>و</w:t>
      </w:r>
      <w:r w:rsidR="008D4916" w:rsidRPr="008D4916">
        <w:rPr>
          <w:rFonts w:ascii="Traditional Arabic" w:eastAsia="Times New Roman" w:hAnsi="Traditional Arabic" w:cs="Royal Arabic" w:hint="cs"/>
          <w:sz w:val="38"/>
          <w:szCs w:val="38"/>
          <w:rtl/>
        </w:rPr>
        <w:t>بكافة الدفوع والمستندات</w:t>
      </w:r>
      <w:r w:rsidR="00635D7E">
        <w:rPr>
          <w:rFonts w:ascii="Traditional Arabic" w:eastAsia="Times New Roman" w:hAnsi="Traditional Arabic" w:cs="Royal Arabic" w:hint="cs"/>
          <w:sz w:val="38"/>
          <w:szCs w:val="38"/>
          <w:rtl/>
        </w:rPr>
        <w:t>،</w:t>
      </w:r>
      <w:r w:rsidR="008D4916" w:rsidRPr="008D4916">
        <w:rPr>
          <w:rFonts w:ascii="Traditional Arabic" w:eastAsia="Times New Roman" w:hAnsi="Traditional Arabic" w:cs="Royal Arabic" w:hint="cs"/>
          <w:sz w:val="38"/>
          <w:szCs w:val="38"/>
          <w:rtl/>
        </w:rPr>
        <w:t xml:space="preserve"> التي سبق إبداؤها لدى المحكمة الإدارية بالرياض ومحكمة الاستئناف الإدارية بمنطقة الرياض في هذه الدعوى</w:t>
      </w:r>
      <w:r w:rsidR="008D4916">
        <w:rPr>
          <w:rFonts w:ascii="Traditional Arabic" w:eastAsia="Times New Roman" w:hAnsi="Traditional Arabic" w:cs="Royal Arabic" w:hint="cs"/>
          <w:sz w:val="38"/>
          <w:szCs w:val="38"/>
          <w:rtl/>
        </w:rPr>
        <w:t>.</w:t>
      </w:r>
    </w:p>
    <w:p w14:paraId="4D936195" w14:textId="1D65F541" w:rsidR="004C4983" w:rsidRDefault="004C2D94" w:rsidP="00635D7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C4983" w:rsidRPr="008D4916">
        <w:rPr>
          <w:rFonts w:ascii="Traditional Arabic" w:eastAsia="Times New Roman" w:hAnsi="Traditional Arabic" w:cs="Royal Arabic" w:hint="cs"/>
          <w:b/>
          <w:bCs/>
          <w:sz w:val="38"/>
          <w:szCs w:val="38"/>
          <w:rtl/>
        </w:rPr>
        <w:t>ثالثاً</w:t>
      </w:r>
      <w:r w:rsidR="008D4916">
        <w:rPr>
          <w:rFonts w:ascii="Traditional Arabic" w:eastAsia="Times New Roman" w:hAnsi="Traditional Arabic" w:cs="Royal Arabic" w:hint="cs"/>
          <w:b/>
          <w:bCs/>
          <w:sz w:val="38"/>
          <w:szCs w:val="38"/>
          <w:rtl/>
        </w:rPr>
        <w:t>:</w:t>
      </w:r>
      <w:r w:rsidR="00356706">
        <w:rPr>
          <w:rFonts w:ascii="Traditional Arabic" w:eastAsia="Times New Roman" w:hAnsi="Traditional Arabic" w:cs="Royal Arabic" w:hint="cs"/>
          <w:sz w:val="38"/>
          <w:szCs w:val="38"/>
          <w:rtl/>
        </w:rPr>
        <w:t xml:space="preserve"> في الموضوع:</w:t>
      </w:r>
      <w:r w:rsidR="008D4916">
        <w:rPr>
          <w:rFonts w:ascii="Traditional Arabic" w:eastAsia="Times New Roman" w:hAnsi="Traditional Arabic" w:cs="Royal Arabic" w:hint="cs"/>
          <w:sz w:val="38"/>
          <w:szCs w:val="38"/>
          <w:rtl/>
        </w:rPr>
        <w:t xml:space="preserve"> الجواب عن الفقرة (أولاً/أ) من صحيفة الاعتراض؛ فما ذكره المدعي من مخالفة المادة (الساب</w:t>
      </w:r>
      <w:r w:rsidR="005552E4">
        <w:rPr>
          <w:rFonts w:ascii="Traditional Arabic" w:eastAsia="Times New Roman" w:hAnsi="Traditional Arabic" w:cs="Royal Arabic" w:hint="cs"/>
          <w:sz w:val="38"/>
          <w:szCs w:val="38"/>
          <w:rtl/>
        </w:rPr>
        <w:t>ع</w:t>
      </w:r>
      <w:r w:rsidR="008D4916">
        <w:rPr>
          <w:rFonts w:ascii="Traditional Arabic" w:eastAsia="Times New Roman" w:hAnsi="Traditional Arabic" w:cs="Royal Arabic" w:hint="cs"/>
          <w:sz w:val="38"/>
          <w:szCs w:val="38"/>
          <w:rtl/>
        </w:rPr>
        <w:t>ة عشرة) من اللائحة التنفيذية لنظام الانضباط الوظيفي التي أوجبت بيان صلاحية مصدر القرار</w:t>
      </w:r>
      <w:r w:rsidR="005552E4">
        <w:rPr>
          <w:rFonts w:ascii="Traditional Arabic" w:eastAsia="Times New Roman" w:hAnsi="Traditional Arabic" w:cs="Royal Arabic" w:hint="cs"/>
          <w:sz w:val="38"/>
          <w:szCs w:val="38"/>
          <w:rtl/>
        </w:rPr>
        <w:t xml:space="preserve">؛ </w:t>
      </w:r>
      <w:r w:rsidR="001F17EB">
        <w:rPr>
          <w:rFonts w:ascii="Traditional Arabic" w:eastAsia="Times New Roman" w:hAnsi="Traditional Arabic" w:cs="Royal Arabic" w:hint="cs"/>
          <w:sz w:val="38"/>
          <w:szCs w:val="38"/>
          <w:rtl/>
        </w:rPr>
        <w:t>فقد سبق الجواب عنها بأن: (</w:t>
      </w:r>
      <w:r w:rsidR="001F17EB" w:rsidRPr="001F17EB">
        <w:rPr>
          <w:rFonts w:ascii="Traditional Arabic" w:eastAsia="Times New Roman" w:hAnsi="Traditional Arabic" w:cs="Royal Arabic" w:hint="cs"/>
          <w:sz w:val="38"/>
          <w:szCs w:val="38"/>
          <w:rtl/>
        </w:rPr>
        <w:t>القرار محل الدعوى قد كشف عن صلاحية معالي رئيس ديوان المظالم -مصدر القرار- بإشارته في الديباجة إلى نظام الانضباط الوظيفي الذي قرر في المادة (</w:t>
      </w:r>
      <w:r w:rsidR="001F17EB">
        <w:rPr>
          <w:rFonts w:ascii="Traditional Arabic" w:eastAsia="Times New Roman" w:hAnsi="Traditional Arabic" w:cs="Royal Arabic" w:hint="cs"/>
          <w:sz w:val="38"/>
          <w:szCs w:val="38"/>
          <w:rtl/>
        </w:rPr>
        <w:t>٢٢</w:t>
      </w:r>
      <w:r w:rsidR="001F17EB" w:rsidRPr="001F17EB">
        <w:rPr>
          <w:rFonts w:ascii="Traditional Arabic" w:eastAsia="Times New Roman" w:hAnsi="Traditional Arabic" w:cs="Royal Arabic" w:hint="cs"/>
          <w:sz w:val="38"/>
          <w:szCs w:val="38"/>
          <w:rtl/>
        </w:rPr>
        <w:t>) منه أن صلاحية إيقاع جزاء الفصل من الخدمة تكون للوزير؛ أي معالي رئيس الديوان مصدر القرار، وهو ما</w:t>
      </w:r>
      <w:r w:rsidR="001F17EB">
        <w:rPr>
          <w:rFonts w:ascii="Traditional Arabic" w:eastAsia="Times New Roman" w:hAnsi="Traditional Arabic" w:cs="Royal Arabic" w:hint="cs"/>
          <w:sz w:val="38"/>
          <w:szCs w:val="38"/>
          <w:rtl/>
        </w:rPr>
        <w:t xml:space="preserve"> </w:t>
      </w:r>
      <w:r w:rsidR="001F17EB" w:rsidRPr="001F17EB">
        <w:rPr>
          <w:rFonts w:ascii="Traditional Arabic" w:eastAsia="Times New Roman" w:hAnsi="Traditional Arabic" w:cs="Royal Arabic" w:hint="cs"/>
          <w:sz w:val="38"/>
          <w:szCs w:val="38"/>
          <w:rtl/>
        </w:rPr>
        <w:t>تمّ، وبالتالي يتبين أن ما ذكره المدعي غير صحيح</w:t>
      </w:r>
      <w:r w:rsidR="001F17EB">
        <w:rPr>
          <w:rFonts w:ascii="Traditional Arabic" w:eastAsia="Times New Roman" w:hAnsi="Traditional Arabic" w:cs="Royal Arabic" w:hint="cs"/>
          <w:sz w:val="38"/>
          <w:szCs w:val="38"/>
          <w:rtl/>
        </w:rPr>
        <w:t>)،</w:t>
      </w:r>
      <w:r w:rsidR="00635D7E">
        <w:rPr>
          <w:rFonts w:ascii="Traditional Arabic" w:eastAsia="Times New Roman" w:hAnsi="Traditional Arabic" w:cs="Royal Arabic" w:hint="cs"/>
          <w:sz w:val="38"/>
          <w:szCs w:val="38"/>
          <w:rtl/>
        </w:rPr>
        <w:t xml:space="preserve"> وأن: (</w:t>
      </w:r>
      <w:r w:rsidR="00635D7E" w:rsidRPr="00635D7E">
        <w:rPr>
          <w:rFonts w:ascii="Traditional Arabic" w:eastAsia="Times New Roman" w:hAnsi="Traditional Arabic" w:cs="Royal Arabic" w:hint="cs"/>
          <w:sz w:val="38"/>
          <w:szCs w:val="38"/>
          <w:rtl/>
        </w:rPr>
        <w:t>معالي رئيس ديوان المظالم يتمتع باختصاص أصيل مستمد من نظام الانضباط الوظيفي رأساً يمكّنه من إيقاع العقوبات التأديبية، وليس اختصاصاً مفوضاً يستوجب بياناً تفصيلاً بقرار التفويض ورقمه وتاريخه، ولذا فإن الإشارة إلى نظام الانضباط الوظيفي في ديباجة القرار كافية لبيان صلاحية معاليه الأصيلة والمستمدّة من النظام.</w:t>
      </w:r>
      <w:r w:rsidR="00635D7E">
        <w:rPr>
          <w:rFonts w:ascii="Traditional Arabic" w:eastAsia="Times New Roman" w:hAnsi="Traditional Arabic" w:cs="Royal Arabic" w:hint="cs"/>
          <w:sz w:val="38"/>
          <w:szCs w:val="38"/>
          <w:rtl/>
        </w:rPr>
        <w:t>)،</w:t>
      </w:r>
      <w:r w:rsidR="001F17EB">
        <w:rPr>
          <w:rFonts w:ascii="Traditional Arabic" w:eastAsia="Times New Roman" w:hAnsi="Traditional Arabic" w:cs="Royal Arabic" w:hint="cs"/>
          <w:sz w:val="38"/>
          <w:szCs w:val="38"/>
          <w:rtl/>
        </w:rPr>
        <w:t xml:space="preserve"> كما أوضحت أيضاً أسباب الحكم بطلان ذلك الطعن حينما نصت على أن: (</w:t>
      </w:r>
      <w:r w:rsidR="00635D7E">
        <w:rPr>
          <w:rFonts w:ascii="Traditional Arabic" w:eastAsia="Times New Roman" w:hAnsi="Traditional Arabic" w:cs="Royal Arabic" w:hint="cs"/>
          <w:sz w:val="38"/>
          <w:szCs w:val="38"/>
          <w:rtl/>
        </w:rPr>
        <w:t xml:space="preserve">ذلك </w:t>
      </w:r>
      <w:r w:rsidR="00635D7E">
        <w:rPr>
          <w:rFonts w:ascii="Traditional Arabic" w:eastAsia="Times New Roman" w:hAnsi="Traditional Arabic" w:cs="Royal Arabic" w:hint="cs"/>
          <w:sz w:val="38"/>
          <w:szCs w:val="38"/>
          <w:rtl/>
        </w:rPr>
        <w:lastRenderedPageBreak/>
        <w:t>يتأتى على الصلاحيات المفوضة ممن منحه المنظم الحق فيها، خلافاً لما يصدر من قرارات وفق المنح المباشر من المنظم لوضوح صفته في إصدارها</w:t>
      </w:r>
      <w:r w:rsidR="001F17EB">
        <w:rPr>
          <w:rFonts w:ascii="Traditional Arabic" w:eastAsia="Times New Roman" w:hAnsi="Traditional Arabic" w:cs="Royal Arabic" w:hint="cs"/>
          <w:sz w:val="38"/>
          <w:szCs w:val="38"/>
          <w:rtl/>
        </w:rPr>
        <w:t>)</w:t>
      </w:r>
      <w:r w:rsidR="00356706" w:rsidRPr="00356706">
        <w:rPr>
          <w:rFonts w:ascii="Traditional Arabic" w:eastAsia="Times New Roman" w:hAnsi="Traditional Arabic" w:cs="Royal Arabic"/>
          <w:sz w:val="38"/>
          <w:szCs w:val="38"/>
          <w:rtl/>
        </w:rPr>
        <w:t>.</w:t>
      </w:r>
    </w:p>
    <w:p w14:paraId="2755DC50" w14:textId="461B4315" w:rsidR="00635D7E" w:rsidRDefault="004C2D94" w:rsidP="00635D7E">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5552E4" w:rsidRPr="005552E4">
        <w:rPr>
          <w:rFonts w:ascii="Traditional Arabic" w:eastAsia="Times New Roman" w:hAnsi="Traditional Arabic" w:cs="Royal Arabic" w:hint="cs"/>
          <w:b/>
          <w:bCs/>
          <w:sz w:val="38"/>
          <w:szCs w:val="38"/>
          <w:rtl/>
        </w:rPr>
        <w:t>رابعاً</w:t>
      </w:r>
      <w:r w:rsidR="005552E4">
        <w:rPr>
          <w:rFonts w:ascii="Traditional Arabic" w:eastAsia="Times New Roman" w:hAnsi="Traditional Arabic" w:cs="Royal Arabic" w:hint="cs"/>
          <w:sz w:val="38"/>
          <w:szCs w:val="38"/>
          <w:rtl/>
        </w:rPr>
        <w:t xml:space="preserve">: </w:t>
      </w:r>
      <w:r w:rsidR="005552E4">
        <w:rPr>
          <w:rFonts w:ascii="Traditional Arabic" w:eastAsia="Times New Roman" w:hAnsi="Traditional Arabic" w:cs="Royal Arabic" w:hint="cs"/>
          <w:sz w:val="38"/>
          <w:szCs w:val="38"/>
          <w:rtl/>
        </w:rPr>
        <w:t>في الموضوع: الجواب عن الفقرة (أولاً/</w:t>
      </w:r>
      <w:r w:rsidR="005552E4">
        <w:rPr>
          <w:rFonts w:ascii="Traditional Arabic" w:eastAsia="Times New Roman" w:hAnsi="Traditional Arabic" w:cs="Royal Arabic" w:hint="cs"/>
          <w:sz w:val="38"/>
          <w:szCs w:val="38"/>
          <w:rtl/>
        </w:rPr>
        <w:t>د</w:t>
      </w:r>
      <w:r w:rsidR="005552E4">
        <w:rPr>
          <w:rFonts w:ascii="Traditional Arabic" w:eastAsia="Times New Roman" w:hAnsi="Traditional Arabic" w:cs="Royal Arabic" w:hint="cs"/>
          <w:sz w:val="38"/>
          <w:szCs w:val="38"/>
          <w:rtl/>
        </w:rPr>
        <w:t>) من صحيفة الاعتراض؛ فما ذكره المدعي من مخالفة</w:t>
      </w:r>
      <w:r w:rsidR="005552E4">
        <w:rPr>
          <w:rFonts w:ascii="Traditional Arabic" w:eastAsia="Times New Roman" w:hAnsi="Traditional Arabic" w:cs="Royal Arabic" w:hint="cs"/>
          <w:sz w:val="38"/>
          <w:szCs w:val="38"/>
          <w:rtl/>
        </w:rPr>
        <w:t xml:space="preserve"> الفقرة (٢) من</w:t>
      </w:r>
      <w:r w:rsidR="005552E4">
        <w:rPr>
          <w:rFonts w:ascii="Traditional Arabic" w:eastAsia="Times New Roman" w:hAnsi="Traditional Arabic" w:cs="Royal Arabic" w:hint="cs"/>
          <w:sz w:val="38"/>
          <w:szCs w:val="38"/>
          <w:rtl/>
        </w:rPr>
        <w:t xml:space="preserve"> المادة (</w:t>
      </w:r>
      <w:r w:rsidR="005552E4">
        <w:rPr>
          <w:rFonts w:ascii="Traditional Arabic" w:eastAsia="Times New Roman" w:hAnsi="Traditional Arabic" w:cs="Royal Arabic" w:hint="cs"/>
          <w:sz w:val="38"/>
          <w:szCs w:val="38"/>
          <w:rtl/>
        </w:rPr>
        <w:t>العاشرة</w:t>
      </w:r>
      <w:r w:rsidR="005552E4">
        <w:rPr>
          <w:rFonts w:ascii="Traditional Arabic" w:eastAsia="Times New Roman" w:hAnsi="Traditional Arabic" w:cs="Royal Arabic" w:hint="cs"/>
          <w:sz w:val="38"/>
          <w:szCs w:val="38"/>
          <w:rtl/>
        </w:rPr>
        <w:t>) من نظام الانضباط الوظيفي التي أوجبت</w:t>
      </w:r>
      <w:r w:rsidR="005552E4">
        <w:rPr>
          <w:rFonts w:ascii="Traditional Arabic" w:eastAsia="Times New Roman" w:hAnsi="Traditional Arabic" w:cs="Royal Arabic" w:hint="cs"/>
          <w:sz w:val="38"/>
          <w:szCs w:val="38"/>
          <w:rtl/>
        </w:rPr>
        <w:t xml:space="preserve"> مشاركة عضو وزارة الموارد البشرية- مخالفٌ للواقع؛ فإن اللجنة شُكلت بعضوية ممثل وزارة الموارد البشرية، وقد تضمن قرار اللجنة في بدايته الإشارة إلى ذلك، فضلاً عن ذكر اسمه وذكر رقم خطاب التسمية وتاريخه (مرفق).   </w:t>
      </w:r>
    </w:p>
    <w:p w14:paraId="5C8A74AB" w14:textId="388488B9" w:rsidR="004C2D94" w:rsidRDefault="004C2D94" w:rsidP="004C2D94">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 xml:space="preserve">     </w:t>
      </w:r>
      <w:r w:rsidRPr="004C2D94">
        <w:rPr>
          <w:rFonts w:ascii="Traditional Arabic" w:eastAsia="Times New Roman" w:hAnsi="Traditional Arabic" w:cs="Royal Arabic" w:hint="cs"/>
          <w:b/>
          <w:bCs/>
          <w:sz w:val="38"/>
          <w:szCs w:val="38"/>
          <w:rtl/>
        </w:rPr>
        <w:t>خامساً</w:t>
      </w:r>
      <w:r>
        <w:rPr>
          <w:rFonts w:ascii="Traditional Arabic" w:eastAsia="Times New Roman" w:hAnsi="Traditional Arabic" w:cs="Royal Arabic" w:hint="cs"/>
          <w:sz w:val="38"/>
          <w:szCs w:val="38"/>
          <w:rtl/>
        </w:rPr>
        <w:t xml:space="preserve">: </w:t>
      </w:r>
      <w:r w:rsidRPr="004C2D94">
        <w:rPr>
          <w:rFonts w:ascii="Traditional Arabic" w:eastAsia="Times New Roman" w:hAnsi="Traditional Arabic" w:cs="Royal Arabic" w:hint="cs"/>
          <w:sz w:val="38"/>
          <w:szCs w:val="38"/>
          <w:rtl/>
        </w:rPr>
        <w:t>في الموضوع: الجواب عن الفقرة (أولاً/</w:t>
      </w:r>
      <w:r>
        <w:rPr>
          <w:rFonts w:ascii="Traditional Arabic" w:eastAsia="Times New Roman" w:hAnsi="Traditional Arabic" w:cs="Royal Arabic" w:hint="cs"/>
          <w:sz w:val="38"/>
          <w:szCs w:val="38"/>
          <w:rtl/>
        </w:rPr>
        <w:t>هـ</w:t>
      </w:r>
      <w:r w:rsidRPr="004C2D94">
        <w:rPr>
          <w:rFonts w:ascii="Traditional Arabic" w:eastAsia="Times New Roman" w:hAnsi="Traditional Arabic" w:cs="Royal Arabic" w:hint="cs"/>
          <w:sz w:val="38"/>
          <w:szCs w:val="38"/>
          <w:rtl/>
        </w:rPr>
        <w:t>) من صحيفة الاعتراض؛ فما ذكره المدعي من مخالفة</w:t>
      </w:r>
      <w:r>
        <w:rPr>
          <w:rFonts w:ascii="Traditional Arabic" w:eastAsia="Times New Roman" w:hAnsi="Traditional Arabic" w:cs="Royal Arabic" w:hint="cs"/>
          <w:sz w:val="38"/>
          <w:szCs w:val="38"/>
          <w:rtl/>
        </w:rPr>
        <w:t xml:space="preserve"> الفقرة (٣) من</w:t>
      </w:r>
      <w:r w:rsidRPr="004C2D94">
        <w:rPr>
          <w:rFonts w:ascii="Traditional Arabic" w:eastAsia="Times New Roman" w:hAnsi="Traditional Arabic" w:cs="Royal Arabic" w:hint="cs"/>
          <w:sz w:val="38"/>
          <w:szCs w:val="38"/>
          <w:rtl/>
        </w:rPr>
        <w:t xml:space="preserve"> المادة (ال</w:t>
      </w:r>
      <w:r>
        <w:rPr>
          <w:rFonts w:ascii="Traditional Arabic" w:eastAsia="Times New Roman" w:hAnsi="Traditional Arabic" w:cs="Royal Arabic" w:hint="cs"/>
          <w:sz w:val="38"/>
          <w:szCs w:val="38"/>
          <w:rtl/>
        </w:rPr>
        <w:t>عاشرة</w:t>
      </w:r>
      <w:r w:rsidRPr="004C2D94">
        <w:rPr>
          <w:rFonts w:ascii="Traditional Arabic" w:eastAsia="Times New Roman" w:hAnsi="Traditional Arabic" w:cs="Royal Arabic" w:hint="cs"/>
          <w:sz w:val="38"/>
          <w:szCs w:val="38"/>
          <w:rtl/>
        </w:rPr>
        <w:t xml:space="preserve">) من اللائحة التنفيذية لنظام الانضباط الوظيفي التي </w:t>
      </w:r>
      <w:r>
        <w:rPr>
          <w:rFonts w:ascii="Traditional Arabic" w:eastAsia="Times New Roman" w:hAnsi="Traditional Arabic" w:cs="Royal Arabic" w:hint="cs"/>
          <w:sz w:val="38"/>
          <w:szCs w:val="38"/>
          <w:rtl/>
        </w:rPr>
        <w:t>منعت إيقاع أكثر من جزاء عن المخالفة نفسها</w:t>
      </w:r>
      <w:r w:rsidRPr="004C2D94">
        <w:rPr>
          <w:rFonts w:ascii="Traditional Arabic" w:eastAsia="Times New Roman" w:hAnsi="Traditional Arabic" w:cs="Royal Arabic" w:hint="cs"/>
          <w:sz w:val="38"/>
          <w:szCs w:val="38"/>
          <w:rtl/>
        </w:rPr>
        <w:t>؛ فقد سبق الجواب عنها</w:t>
      </w:r>
      <w:r>
        <w:rPr>
          <w:rFonts w:ascii="Traditional Arabic" w:eastAsia="Times New Roman" w:hAnsi="Traditional Arabic" w:cs="Royal Arabic" w:hint="cs"/>
          <w:sz w:val="38"/>
          <w:szCs w:val="38"/>
          <w:rtl/>
        </w:rPr>
        <w:t xml:space="preserve"> بأن ذلك غير صحيح، </w:t>
      </w:r>
      <w:r w:rsidRPr="004C2D94">
        <w:rPr>
          <w:rFonts w:ascii="Traditional Arabic" w:eastAsia="Times New Roman" w:hAnsi="Traditional Arabic" w:cs="Royal Arabic" w:hint="cs"/>
          <w:sz w:val="38"/>
          <w:szCs w:val="38"/>
          <w:rtl/>
        </w:rPr>
        <w:t>وما أشار له من أن الحكم التأديبي رقم (</w:t>
      </w:r>
      <w:r>
        <w:rPr>
          <w:rFonts w:ascii="Traditional Arabic" w:eastAsia="Times New Roman" w:hAnsi="Traditional Arabic" w:cs="Royal Arabic" w:hint="cs"/>
          <w:sz w:val="38"/>
          <w:szCs w:val="38"/>
          <w:rtl/>
        </w:rPr>
        <w:t>١١</w:t>
      </w:r>
      <w:r w:rsidRPr="004C2D94">
        <w:rPr>
          <w:rFonts w:ascii="Traditional Arabic" w:eastAsia="Times New Roman" w:hAnsi="Traditional Arabic" w:cs="Royal Arabic" w:hint="cs"/>
          <w:sz w:val="38"/>
          <w:szCs w:val="38"/>
          <w:rtl/>
        </w:rPr>
        <w:t xml:space="preserve"> لعام </w:t>
      </w:r>
      <w:r>
        <w:rPr>
          <w:rFonts w:ascii="Traditional Arabic" w:eastAsia="Times New Roman" w:hAnsi="Traditional Arabic" w:cs="Royal Arabic" w:hint="cs"/>
          <w:sz w:val="38"/>
          <w:szCs w:val="38"/>
          <w:rtl/>
        </w:rPr>
        <w:t>١٤٤٥</w:t>
      </w:r>
      <w:r w:rsidRPr="004C2D94">
        <w:rPr>
          <w:rFonts w:ascii="Traditional Arabic" w:eastAsia="Times New Roman" w:hAnsi="Traditional Arabic" w:cs="Royal Arabic" w:hint="cs"/>
          <w:sz w:val="38"/>
          <w:szCs w:val="38"/>
          <w:rtl/>
        </w:rPr>
        <w:t xml:space="preserve">هـ) الصادر من المحكمة الإدارية بحفر الباطن تضمّن معاقبته على مخالفة هي من ضمن المخالفات محل القرار فغير صحيح أيضاً، فالحكم التأديبي عاقبه على مخالفات مختلفة وهي لقاء (تلفظه على عضو لجنة التحقيق بالمحكمة، وتسجيله ما يدور في جلسة التحقيق وإبرازه لهاتفه المتنقل، ورفع صوته في مكتب لجنة التحقيق بهدف الضغط على أعضاء اللجنة لتغيير مسار التحقيق)، وهذه المخالفات مختلفة تماماً عن المخالفات محل القرار الطعين، وما ورد في الحكم لا يتفق مع ذلك، وقد سبق إرفاق نسخة من الحكم التأديبي عبر خدمة تبادل المذكرات </w:t>
      </w:r>
      <w:r w:rsidR="00E32D7C">
        <w:rPr>
          <w:rFonts w:ascii="Traditional Arabic" w:eastAsia="Times New Roman" w:hAnsi="Traditional Arabic" w:cs="Royal Arabic" w:hint="cs"/>
          <w:sz w:val="38"/>
          <w:szCs w:val="38"/>
          <w:rtl/>
        </w:rPr>
        <w:t>و</w:t>
      </w:r>
      <w:r w:rsidRPr="004C2D94">
        <w:rPr>
          <w:rFonts w:ascii="Traditional Arabic" w:eastAsia="Times New Roman" w:hAnsi="Traditional Arabic" w:cs="Royal Arabic" w:hint="cs"/>
          <w:sz w:val="38"/>
          <w:szCs w:val="38"/>
          <w:rtl/>
        </w:rPr>
        <w:t>تبين ذلك بجلاء</w:t>
      </w:r>
      <w:r w:rsidR="00E32D7C">
        <w:rPr>
          <w:rFonts w:ascii="Traditional Arabic" w:eastAsia="Times New Roman" w:hAnsi="Traditional Arabic" w:cs="Royal Arabic" w:hint="cs"/>
          <w:sz w:val="38"/>
          <w:szCs w:val="38"/>
          <w:rtl/>
        </w:rPr>
        <w:t xml:space="preserve">. </w:t>
      </w:r>
    </w:p>
    <w:p w14:paraId="44690FDF" w14:textId="4A80365B" w:rsidR="002A1361" w:rsidRDefault="00E32D7C" w:rsidP="007546C7">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 xml:space="preserve">     </w:t>
      </w:r>
      <w:r w:rsidRPr="00E32D7C">
        <w:rPr>
          <w:rFonts w:ascii="Traditional Arabic" w:eastAsia="Times New Roman" w:hAnsi="Traditional Arabic" w:cs="Royal Arabic" w:hint="cs"/>
          <w:b/>
          <w:bCs/>
          <w:sz w:val="38"/>
          <w:szCs w:val="38"/>
          <w:rtl/>
        </w:rPr>
        <w:t>خامساً</w:t>
      </w:r>
      <w:r>
        <w:rPr>
          <w:rFonts w:ascii="Traditional Arabic" w:eastAsia="Times New Roman" w:hAnsi="Traditional Arabic" w:cs="Royal Arabic" w:hint="cs"/>
          <w:sz w:val="38"/>
          <w:szCs w:val="38"/>
          <w:rtl/>
        </w:rPr>
        <w:t xml:space="preserve">: أما </w:t>
      </w:r>
      <w:r w:rsidR="00635D7E">
        <w:rPr>
          <w:rFonts w:ascii="Traditional Arabic" w:eastAsia="Times New Roman" w:hAnsi="Traditional Arabic" w:cs="Royal Arabic" w:hint="cs"/>
          <w:sz w:val="38"/>
          <w:szCs w:val="38"/>
          <w:rtl/>
        </w:rPr>
        <w:t>ما سوى ذلك مما تضمنته صحيفة الاع</w:t>
      </w:r>
      <w:r>
        <w:rPr>
          <w:rFonts w:ascii="Traditional Arabic" w:eastAsia="Times New Roman" w:hAnsi="Traditional Arabic" w:cs="Royal Arabic" w:hint="cs"/>
          <w:sz w:val="38"/>
          <w:szCs w:val="38"/>
          <w:rtl/>
        </w:rPr>
        <w:t>ت</w:t>
      </w:r>
      <w:r w:rsidR="00635D7E">
        <w:rPr>
          <w:rFonts w:ascii="Traditional Arabic" w:eastAsia="Times New Roman" w:hAnsi="Traditional Arabic" w:cs="Royal Arabic" w:hint="cs"/>
          <w:sz w:val="38"/>
          <w:szCs w:val="38"/>
          <w:rtl/>
        </w:rPr>
        <w:t>راض فقد سبق الجواب عنها تفصيلاً</w:t>
      </w:r>
      <w:r>
        <w:rPr>
          <w:rFonts w:ascii="Traditional Arabic" w:eastAsia="Times New Roman" w:hAnsi="Traditional Arabic" w:cs="Royal Arabic" w:hint="cs"/>
          <w:sz w:val="38"/>
          <w:szCs w:val="38"/>
          <w:rtl/>
        </w:rPr>
        <w:t xml:space="preserve"> في المذكرات السابقة</w:t>
      </w:r>
      <w:r w:rsidR="00635D7E">
        <w:rPr>
          <w:rFonts w:ascii="Traditional Arabic" w:eastAsia="Times New Roman" w:hAnsi="Traditional Arabic" w:cs="Royal Arabic" w:hint="cs"/>
          <w:sz w:val="38"/>
          <w:szCs w:val="38"/>
          <w:rtl/>
        </w:rPr>
        <w:t>، وفن</w:t>
      </w:r>
      <w:r>
        <w:rPr>
          <w:rFonts w:ascii="Traditional Arabic" w:eastAsia="Times New Roman" w:hAnsi="Traditional Arabic" w:cs="Royal Arabic" w:hint="cs"/>
          <w:sz w:val="38"/>
          <w:szCs w:val="38"/>
          <w:rtl/>
        </w:rPr>
        <w:t>ّ</w:t>
      </w:r>
      <w:r w:rsidR="00635D7E">
        <w:rPr>
          <w:rFonts w:ascii="Traditional Arabic" w:eastAsia="Times New Roman" w:hAnsi="Traditional Arabic" w:cs="Royal Arabic" w:hint="cs"/>
          <w:sz w:val="38"/>
          <w:szCs w:val="38"/>
          <w:rtl/>
        </w:rPr>
        <w:t>دها الحكم الصادر في الدعوى، فضلا</w:t>
      </w:r>
      <w:r>
        <w:rPr>
          <w:rFonts w:ascii="Traditional Arabic" w:eastAsia="Times New Roman" w:hAnsi="Traditional Arabic" w:cs="Royal Arabic" w:hint="cs"/>
          <w:sz w:val="38"/>
          <w:szCs w:val="38"/>
          <w:rtl/>
        </w:rPr>
        <w:t>ً</w:t>
      </w:r>
      <w:r w:rsidR="00635D7E">
        <w:rPr>
          <w:rFonts w:ascii="Traditional Arabic" w:eastAsia="Times New Roman" w:hAnsi="Traditional Arabic" w:cs="Royal Arabic" w:hint="cs"/>
          <w:sz w:val="38"/>
          <w:szCs w:val="38"/>
          <w:rtl/>
        </w:rPr>
        <w:t xml:space="preserve"> عن عدم انطباق</w:t>
      </w:r>
      <w:r w:rsidR="007546C7">
        <w:rPr>
          <w:rFonts w:ascii="Traditional Arabic" w:eastAsia="Times New Roman" w:hAnsi="Traditional Arabic" w:cs="Royal Arabic" w:hint="cs"/>
          <w:sz w:val="38"/>
          <w:szCs w:val="38"/>
          <w:rtl/>
        </w:rPr>
        <w:t xml:space="preserve"> أي من</w:t>
      </w:r>
      <w:r w:rsidR="00635D7E">
        <w:rPr>
          <w:rFonts w:ascii="Traditional Arabic" w:eastAsia="Times New Roman" w:hAnsi="Traditional Arabic" w:cs="Royal Arabic" w:hint="cs"/>
          <w:sz w:val="38"/>
          <w:szCs w:val="38"/>
          <w:rtl/>
        </w:rPr>
        <w:t xml:space="preserve"> الأسباب الواردة في المادة (الحادية عشرة) من نظام ديوان المظالم عليها. </w:t>
      </w:r>
    </w:p>
    <w:p w14:paraId="0C2AC4AB" w14:textId="77777777" w:rsidR="007546C7" w:rsidRPr="007546C7" w:rsidRDefault="007546C7" w:rsidP="007546C7">
      <w:pPr>
        <w:widowControl w:val="0"/>
        <w:spacing w:after="0" w:line="240" w:lineRule="auto"/>
        <w:jc w:val="both"/>
        <w:rPr>
          <w:rFonts w:ascii="Traditional Arabic" w:eastAsia="Times New Roman" w:hAnsi="Traditional Arabic" w:cs="Royal Arabic"/>
          <w:sz w:val="38"/>
          <w:szCs w:val="38"/>
          <w:rtl/>
        </w:rPr>
      </w:pPr>
    </w:p>
    <w:p w14:paraId="0D92B8E7" w14:textId="5FC797DB" w:rsidR="00140BD9" w:rsidRPr="00E311BF" w:rsidRDefault="00BF5FD8" w:rsidP="007546C7">
      <w:pPr>
        <w:widowControl w:val="0"/>
        <w:spacing w:after="0" w:line="240" w:lineRule="auto"/>
        <w:jc w:val="center"/>
        <w:rPr>
          <w:rFonts w:ascii="Traditional Arabic" w:eastAsia="Times New Roman" w:hAnsi="Traditional Arabic" w:cs="Royal Arabic"/>
          <w:sz w:val="38"/>
          <w:szCs w:val="38"/>
          <w:rtl/>
        </w:rPr>
      </w:pPr>
      <w:r w:rsidRPr="008D4916">
        <w:rPr>
          <w:rFonts w:ascii="Traditional Arabic" w:eastAsia="Times New Roman" w:hAnsi="Traditional Arabic" w:cs="Royal Arabic" w:hint="cs"/>
          <w:b/>
          <w:bCs/>
          <w:sz w:val="38"/>
          <w:szCs w:val="38"/>
          <w:rtl/>
        </w:rPr>
        <w:t>الطلبات</w:t>
      </w:r>
      <w:r w:rsidR="0051373F" w:rsidRPr="00E311BF">
        <w:rPr>
          <w:rFonts w:ascii="Traditional Arabic" w:eastAsia="Times New Roman" w:hAnsi="Traditional Arabic" w:cs="Royal Arabic" w:hint="cs"/>
          <w:sz w:val="38"/>
          <w:szCs w:val="38"/>
          <w:rtl/>
        </w:rPr>
        <w:t>؛ استناداً إلى ما تقدّم</w:t>
      </w:r>
      <w:r w:rsidR="00140BD9" w:rsidRPr="00E311BF">
        <w:rPr>
          <w:rFonts w:ascii="Traditional Arabic" w:eastAsia="Times New Roman" w:hAnsi="Traditional Arabic" w:cs="Royal Arabic"/>
          <w:sz w:val="38"/>
          <w:szCs w:val="38"/>
          <w:rtl/>
        </w:rPr>
        <w:t>:</w:t>
      </w:r>
    </w:p>
    <w:p w14:paraId="50CC360E" w14:textId="5DFA5D19" w:rsidR="007A2FF6" w:rsidRPr="00E311BF" w:rsidRDefault="0051373F" w:rsidP="004C4983">
      <w:pPr>
        <w:widowControl w:val="0"/>
        <w:spacing w:after="0" w:line="240" w:lineRule="auto"/>
        <w:jc w:val="both"/>
        <w:rPr>
          <w:rFonts w:ascii="Traditional Arabic" w:eastAsia="Times New Roman" w:hAnsi="Traditional Arabic" w:cs="Royal Arabic"/>
          <w:sz w:val="38"/>
          <w:szCs w:val="38"/>
          <w:rtl/>
        </w:rPr>
      </w:pPr>
      <w:r w:rsidRPr="008D4916">
        <w:rPr>
          <w:rFonts w:ascii="Traditional Arabic" w:eastAsia="Times New Roman" w:hAnsi="Traditional Arabic" w:cs="Royal Arabic" w:hint="cs"/>
          <w:b/>
          <w:bCs/>
          <w:sz w:val="38"/>
          <w:szCs w:val="38"/>
          <w:rtl/>
        </w:rPr>
        <w:t>أولاً</w:t>
      </w:r>
      <w:r w:rsidRPr="00E311BF">
        <w:rPr>
          <w:rFonts w:ascii="Traditional Arabic" w:eastAsia="Times New Roman" w:hAnsi="Traditional Arabic" w:cs="Royal Arabic" w:hint="cs"/>
          <w:sz w:val="38"/>
          <w:szCs w:val="38"/>
          <w:rtl/>
        </w:rPr>
        <w:t xml:space="preserve">: </w:t>
      </w:r>
      <w:r w:rsidR="00BE2903" w:rsidRPr="00E311BF">
        <w:rPr>
          <w:rFonts w:ascii="Traditional Arabic" w:eastAsia="Times New Roman" w:hAnsi="Traditional Arabic" w:cs="Royal Arabic" w:hint="cs"/>
          <w:sz w:val="38"/>
          <w:szCs w:val="38"/>
          <w:rtl/>
        </w:rPr>
        <w:t xml:space="preserve">عدم </w:t>
      </w:r>
      <w:r w:rsidR="004C4983">
        <w:rPr>
          <w:rFonts w:ascii="Traditional Arabic" w:eastAsia="Times New Roman" w:hAnsi="Traditional Arabic" w:cs="Royal Arabic" w:hint="cs"/>
          <w:sz w:val="38"/>
          <w:szCs w:val="38"/>
          <w:rtl/>
        </w:rPr>
        <w:t>قبول الاعتراض شكلاً</w:t>
      </w:r>
      <w:r w:rsidR="007A2FF6" w:rsidRPr="00E311BF">
        <w:rPr>
          <w:rFonts w:ascii="Traditional Arabic" w:eastAsia="Times New Roman" w:hAnsi="Traditional Arabic" w:cs="Royal Arabic" w:hint="cs"/>
          <w:sz w:val="38"/>
          <w:szCs w:val="38"/>
          <w:rtl/>
        </w:rPr>
        <w:t>.</w:t>
      </w:r>
    </w:p>
    <w:p w14:paraId="4542A382" w14:textId="77777777" w:rsidR="0051373F" w:rsidRPr="00E311BF" w:rsidRDefault="0051373F" w:rsidP="004C4983">
      <w:pPr>
        <w:widowControl w:val="0"/>
        <w:spacing w:after="0" w:line="240" w:lineRule="auto"/>
        <w:jc w:val="both"/>
        <w:rPr>
          <w:rFonts w:ascii="Traditional Arabic" w:eastAsia="Times New Roman" w:hAnsi="Traditional Arabic" w:cs="Royal Arabic"/>
          <w:sz w:val="38"/>
          <w:szCs w:val="38"/>
          <w:rtl/>
        </w:rPr>
      </w:pPr>
      <w:r w:rsidRPr="008D4916">
        <w:rPr>
          <w:rFonts w:ascii="Traditional Arabic" w:eastAsia="Times New Roman" w:hAnsi="Traditional Arabic" w:cs="Royal Arabic" w:hint="cs"/>
          <w:b/>
          <w:bCs/>
          <w:sz w:val="38"/>
          <w:szCs w:val="38"/>
          <w:rtl/>
        </w:rPr>
        <w:lastRenderedPageBreak/>
        <w:t>ثانياً</w:t>
      </w:r>
      <w:r w:rsidRPr="00E311BF">
        <w:rPr>
          <w:rFonts w:ascii="Traditional Arabic" w:eastAsia="Times New Roman" w:hAnsi="Traditional Arabic" w:cs="Royal Arabic" w:hint="cs"/>
          <w:sz w:val="38"/>
          <w:szCs w:val="38"/>
          <w:rtl/>
        </w:rPr>
        <w:t xml:space="preserve">: الحكم </w:t>
      </w:r>
      <w:r w:rsidR="004C4983">
        <w:rPr>
          <w:rFonts w:ascii="Traditional Arabic" w:eastAsia="Times New Roman" w:hAnsi="Traditional Arabic" w:cs="Royal Arabic" w:hint="cs"/>
          <w:sz w:val="38"/>
          <w:szCs w:val="38"/>
          <w:rtl/>
        </w:rPr>
        <w:t>برفض الاعتراض</w:t>
      </w:r>
      <w:r w:rsidRPr="00E311BF">
        <w:rPr>
          <w:rFonts w:ascii="Traditional Arabic" w:eastAsia="Times New Roman" w:hAnsi="Traditional Arabic" w:cs="Royal Arabic" w:hint="cs"/>
          <w:sz w:val="38"/>
          <w:szCs w:val="38"/>
          <w:rtl/>
        </w:rPr>
        <w:t xml:space="preserve"> احتياطاً.</w:t>
      </w:r>
    </w:p>
    <w:p w14:paraId="288785B3" w14:textId="77777777" w:rsidR="00D02659" w:rsidRPr="00E311BF" w:rsidRDefault="00D02659" w:rsidP="00D02659">
      <w:pPr>
        <w:widowControl w:val="0"/>
        <w:spacing w:after="0" w:line="420" w:lineRule="exact"/>
        <w:jc w:val="both"/>
        <w:rPr>
          <w:rFonts w:ascii="Traditional Arabic" w:eastAsia="Times New Roman" w:hAnsi="Traditional Arabic" w:cs="Royal Arabic"/>
          <w:sz w:val="38"/>
          <w:szCs w:val="38"/>
          <w:rtl/>
        </w:rPr>
      </w:pPr>
    </w:p>
    <w:p w14:paraId="7220E4D6" w14:textId="77777777" w:rsidR="003E7805" w:rsidRPr="00E311BF" w:rsidRDefault="005D4AD5"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E311BF">
        <w:rPr>
          <w:rFonts w:ascii="Traditional Arabic" w:eastAsia="Times New Roman" w:hAnsi="Traditional Arabic" w:cs="Royal Arabic" w:hint="cs"/>
          <w:sz w:val="38"/>
          <w:szCs w:val="38"/>
          <w:rtl/>
          <w:lang w:bidi="ar-JO"/>
        </w:rPr>
        <w:t xml:space="preserve">                              </w:t>
      </w:r>
      <w:r w:rsidR="00014AB1" w:rsidRPr="00E311BF">
        <w:rPr>
          <w:rFonts w:ascii="Traditional Arabic" w:eastAsia="Times New Roman" w:hAnsi="Traditional Arabic" w:cs="Royal Arabic" w:hint="cs"/>
          <w:sz w:val="38"/>
          <w:szCs w:val="38"/>
          <w:rtl/>
          <w:lang w:bidi="ar-JO"/>
        </w:rPr>
        <w:t xml:space="preserve">                         </w:t>
      </w:r>
      <w:r w:rsidR="00871CEF" w:rsidRPr="00E311BF">
        <w:rPr>
          <w:rFonts w:ascii="Traditional Arabic" w:eastAsia="Times New Roman" w:hAnsi="Traditional Arabic" w:cs="Royal Arabic" w:hint="cs"/>
          <w:sz w:val="38"/>
          <w:szCs w:val="38"/>
          <w:rtl/>
          <w:lang w:bidi="ar-JO"/>
        </w:rPr>
        <w:t xml:space="preserve">ممثل </w:t>
      </w:r>
      <w:r w:rsidRPr="00E311BF">
        <w:rPr>
          <w:rFonts w:ascii="Traditional Arabic" w:eastAsia="Times New Roman" w:hAnsi="Traditional Arabic" w:cs="Royal Arabic" w:hint="cs"/>
          <w:sz w:val="38"/>
          <w:szCs w:val="38"/>
          <w:rtl/>
          <w:lang w:bidi="ar-JO"/>
        </w:rPr>
        <w:t>ديوان المظالم</w:t>
      </w:r>
      <w:r w:rsidR="007A2FF6" w:rsidRPr="00E311BF">
        <w:rPr>
          <w:rFonts w:ascii="Traditional Arabic" w:eastAsia="Times New Roman" w:hAnsi="Traditional Arabic" w:cs="Royal Arabic" w:hint="cs"/>
          <w:sz w:val="38"/>
          <w:szCs w:val="38"/>
          <w:rtl/>
          <w:lang w:bidi="ar-JO"/>
        </w:rPr>
        <w:t xml:space="preserve"> </w:t>
      </w:r>
    </w:p>
    <w:p w14:paraId="72F7EA83" w14:textId="77777777" w:rsidR="00D02659" w:rsidRPr="00E311BF" w:rsidRDefault="00D02659"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2BEC9EB3" w14:textId="5D0A632E" w:rsidR="007A2FF6" w:rsidRPr="00E311BF" w:rsidRDefault="007A2FF6"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p>
    <w:sectPr w:rsidR="007A2FF6" w:rsidRPr="00E311BF"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86EC" w14:textId="77777777" w:rsidR="00CE1166" w:rsidRDefault="00CE1166" w:rsidP="00BF5FD8">
      <w:pPr>
        <w:spacing w:after="0" w:line="240" w:lineRule="auto"/>
      </w:pPr>
      <w:r>
        <w:separator/>
      </w:r>
    </w:p>
  </w:endnote>
  <w:endnote w:type="continuationSeparator" w:id="0">
    <w:p w14:paraId="339B7E10" w14:textId="77777777" w:rsidR="00CE1166" w:rsidRDefault="00CE1166"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20B0604020202020204"/>
    <w:charset w:val="B2"/>
    <w:family w:val="auto"/>
    <w:pitch w:val="variable"/>
    <w:sig w:usb0="00002001" w:usb1="00000000" w:usb2="00000000" w:usb3="00000000" w:csb0="0000004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E400" w14:textId="77777777" w:rsidR="00CE1166" w:rsidRDefault="00CE1166" w:rsidP="00BF5FD8">
      <w:pPr>
        <w:spacing w:after="0" w:line="240" w:lineRule="auto"/>
      </w:pPr>
      <w:r>
        <w:separator/>
      </w:r>
    </w:p>
  </w:footnote>
  <w:footnote w:type="continuationSeparator" w:id="0">
    <w:p w14:paraId="56BDC297" w14:textId="77777777" w:rsidR="00CE1166" w:rsidRDefault="00CE1166"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5229" w14:textId="77777777" w:rsidR="00FB2D9A" w:rsidRDefault="00FB2D9A" w:rsidP="00D02659">
    <w:pPr>
      <w:pStyle w:val="a5"/>
      <w:jc w:val="right"/>
    </w:pPr>
  </w:p>
  <w:p w14:paraId="6018A01F"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0173512">
    <w:abstractNumId w:val="2"/>
  </w:num>
  <w:num w:numId="2" w16cid:durableId="433675651">
    <w:abstractNumId w:val="3"/>
  </w:num>
  <w:num w:numId="3" w16cid:durableId="1655332516">
    <w:abstractNumId w:val="0"/>
  </w:num>
  <w:num w:numId="4" w16cid:durableId="875851840">
    <w:abstractNumId w:val="4"/>
  </w:num>
  <w:num w:numId="5" w16cid:durableId="610824137">
    <w:abstractNumId w:val="5"/>
  </w:num>
  <w:num w:numId="6" w16cid:durableId="1826586262">
    <w:abstractNumId w:val="1"/>
  </w:num>
  <w:num w:numId="7" w16cid:durableId="380985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14AB1"/>
    <w:rsid w:val="0002045C"/>
    <w:rsid w:val="0005043D"/>
    <w:rsid w:val="000648C9"/>
    <w:rsid w:val="00070201"/>
    <w:rsid w:val="0008156A"/>
    <w:rsid w:val="000C4AF6"/>
    <w:rsid w:val="000D7E19"/>
    <w:rsid w:val="000E2911"/>
    <w:rsid w:val="00112E30"/>
    <w:rsid w:val="00126B05"/>
    <w:rsid w:val="00133D6A"/>
    <w:rsid w:val="00140BD9"/>
    <w:rsid w:val="0017256B"/>
    <w:rsid w:val="0017774B"/>
    <w:rsid w:val="00185CA3"/>
    <w:rsid w:val="001B424E"/>
    <w:rsid w:val="001B5DB6"/>
    <w:rsid w:val="001E0B03"/>
    <w:rsid w:val="001E44E0"/>
    <w:rsid w:val="001F17EB"/>
    <w:rsid w:val="001F7B99"/>
    <w:rsid w:val="00227E9C"/>
    <w:rsid w:val="002A1361"/>
    <w:rsid w:val="002C66E8"/>
    <w:rsid w:val="00303544"/>
    <w:rsid w:val="00307B08"/>
    <w:rsid w:val="00307FF6"/>
    <w:rsid w:val="00331905"/>
    <w:rsid w:val="00356706"/>
    <w:rsid w:val="0036088F"/>
    <w:rsid w:val="003A4662"/>
    <w:rsid w:val="003A4D51"/>
    <w:rsid w:val="003A6B17"/>
    <w:rsid w:val="003D26FE"/>
    <w:rsid w:val="003E7805"/>
    <w:rsid w:val="00415CC3"/>
    <w:rsid w:val="004226D1"/>
    <w:rsid w:val="00424E8B"/>
    <w:rsid w:val="00434D6C"/>
    <w:rsid w:val="00473179"/>
    <w:rsid w:val="00490CEC"/>
    <w:rsid w:val="00496C9D"/>
    <w:rsid w:val="004A3EBF"/>
    <w:rsid w:val="004C2D94"/>
    <w:rsid w:val="004C4983"/>
    <w:rsid w:val="004C6568"/>
    <w:rsid w:val="004D6523"/>
    <w:rsid w:val="00506814"/>
    <w:rsid w:val="00506DC3"/>
    <w:rsid w:val="0051373F"/>
    <w:rsid w:val="005401F8"/>
    <w:rsid w:val="0054320F"/>
    <w:rsid w:val="00544F8D"/>
    <w:rsid w:val="00551AFB"/>
    <w:rsid w:val="005552E4"/>
    <w:rsid w:val="005630E4"/>
    <w:rsid w:val="005B1BA4"/>
    <w:rsid w:val="005B2DF3"/>
    <w:rsid w:val="005C6E32"/>
    <w:rsid w:val="005D4AD5"/>
    <w:rsid w:val="005F2F23"/>
    <w:rsid w:val="00604B85"/>
    <w:rsid w:val="006134F1"/>
    <w:rsid w:val="00615FCC"/>
    <w:rsid w:val="00617E48"/>
    <w:rsid w:val="0062660A"/>
    <w:rsid w:val="00635D7E"/>
    <w:rsid w:val="0063721D"/>
    <w:rsid w:val="00643760"/>
    <w:rsid w:val="006614F7"/>
    <w:rsid w:val="006659FD"/>
    <w:rsid w:val="006B46DE"/>
    <w:rsid w:val="006B5B5C"/>
    <w:rsid w:val="006C1C8F"/>
    <w:rsid w:val="006C1E41"/>
    <w:rsid w:val="006C5770"/>
    <w:rsid w:val="006E5E9B"/>
    <w:rsid w:val="00724F00"/>
    <w:rsid w:val="007269C9"/>
    <w:rsid w:val="007275DC"/>
    <w:rsid w:val="007451CC"/>
    <w:rsid w:val="007546C7"/>
    <w:rsid w:val="00763BE0"/>
    <w:rsid w:val="00765481"/>
    <w:rsid w:val="007A2FF6"/>
    <w:rsid w:val="007B582A"/>
    <w:rsid w:val="007C253D"/>
    <w:rsid w:val="007C2C43"/>
    <w:rsid w:val="007D0A62"/>
    <w:rsid w:val="007E0A19"/>
    <w:rsid w:val="00851BE0"/>
    <w:rsid w:val="00866C1A"/>
    <w:rsid w:val="00871CEF"/>
    <w:rsid w:val="0089348B"/>
    <w:rsid w:val="008B0FFD"/>
    <w:rsid w:val="008C75A6"/>
    <w:rsid w:val="008D4916"/>
    <w:rsid w:val="008D70F8"/>
    <w:rsid w:val="008F231B"/>
    <w:rsid w:val="00966CE1"/>
    <w:rsid w:val="0098255E"/>
    <w:rsid w:val="009D6F54"/>
    <w:rsid w:val="00A0583C"/>
    <w:rsid w:val="00A05BB6"/>
    <w:rsid w:val="00A308AA"/>
    <w:rsid w:val="00A56343"/>
    <w:rsid w:val="00A70C90"/>
    <w:rsid w:val="00A8473B"/>
    <w:rsid w:val="00AA6C00"/>
    <w:rsid w:val="00AD6F2D"/>
    <w:rsid w:val="00AE682A"/>
    <w:rsid w:val="00B30C2D"/>
    <w:rsid w:val="00B412F4"/>
    <w:rsid w:val="00B91E8A"/>
    <w:rsid w:val="00BE2903"/>
    <w:rsid w:val="00BF5FD8"/>
    <w:rsid w:val="00BF7D27"/>
    <w:rsid w:val="00C0483D"/>
    <w:rsid w:val="00C11254"/>
    <w:rsid w:val="00C159EC"/>
    <w:rsid w:val="00C443AD"/>
    <w:rsid w:val="00C643C7"/>
    <w:rsid w:val="00C7606B"/>
    <w:rsid w:val="00C83E5F"/>
    <w:rsid w:val="00CB6613"/>
    <w:rsid w:val="00CE1166"/>
    <w:rsid w:val="00CE5833"/>
    <w:rsid w:val="00CE6D06"/>
    <w:rsid w:val="00CE7438"/>
    <w:rsid w:val="00CF5DDE"/>
    <w:rsid w:val="00D02659"/>
    <w:rsid w:val="00D85A10"/>
    <w:rsid w:val="00D86662"/>
    <w:rsid w:val="00DA601A"/>
    <w:rsid w:val="00DC414A"/>
    <w:rsid w:val="00E311BF"/>
    <w:rsid w:val="00E32D7C"/>
    <w:rsid w:val="00E56867"/>
    <w:rsid w:val="00EA478D"/>
    <w:rsid w:val="00EA763D"/>
    <w:rsid w:val="00EC5B6F"/>
    <w:rsid w:val="00F174A5"/>
    <w:rsid w:val="00F70FD9"/>
    <w:rsid w:val="00F927B9"/>
    <w:rsid w:val="00FA1E95"/>
    <w:rsid w:val="00FB22D5"/>
    <w:rsid w:val="00FB2AE5"/>
    <w:rsid w:val="00FB2D9A"/>
    <w:rsid w:val="00FB382D"/>
    <w:rsid w:val="00FB4BB0"/>
    <w:rsid w:val="00FC2485"/>
    <w:rsid w:val="00FC4ACE"/>
    <w:rsid w:val="00FD1112"/>
    <w:rsid w:val="00FD5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BDA30"/>
  <w15:docId w15:val="{01AC5FE2-22B7-904C-937F-883C0F89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8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400B85A-D83E-43FC-A5FC-C90D1FF1D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498</Words>
  <Characters>2845</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2025-03-01T09:45:00Z</cp:lastPrinted>
  <dcterms:created xsi:type="dcterms:W3CDTF">2025-03-01T09:45:00Z</dcterms:created>
  <dcterms:modified xsi:type="dcterms:W3CDTF">2025-03-01T09:45:00Z</dcterms:modified>
</cp:coreProperties>
</file>