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C0CD963" w14:textId="77777777" w:rsidR="00307B08" w:rsidRDefault="001B4896" w:rsidP="00E645E4">
      <w:pPr>
        <w:widowControl w:val="0"/>
        <w:spacing w:line="192" w:lineRule="auto"/>
        <w:ind w:hanging="1"/>
        <w:jc w:val="center"/>
        <w:rPr>
          <w:rFonts w:ascii="Traditional Arabic" w:hAnsi="Traditional Arabic" w:cs="Royal Arabic"/>
          <w:sz w:val="44"/>
          <w:szCs w:val="44"/>
          <w:rtl/>
          <w:lang w:bidi="ar-JO"/>
        </w:rPr>
      </w:pPr>
      <w:r>
        <w:rPr>
          <w:rFonts w:ascii="Traditional Arabic" w:hAnsi="Traditional Arabic" w:cs="Royal Arabic" w:hint="cs"/>
          <w:sz w:val="44"/>
          <w:szCs w:val="44"/>
          <w:rtl/>
          <w:lang w:bidi="ar-JO"/>
        </w:rPr>
        <w:t>مذكرة الرد</w:t>
      </w:r>
      <w:r w:rsidR="00307B08" w:rsidRPr="006A01BE">
        <w:rPr>
          <w:rFonts w:ascii="Traditional Arabic" w:hAnsi="Traditional Arabic" w:cs="Royal Arabic" w:hint="cs"/>
          <w:sz w:val="44"/>
          <w:szCs w:val="44"/>
          <w:rtl/>
          <w:lang w:bidi="ar-JO"/>
        </w:rPr>
        <w:t xml:space="preserve"> على دعوى</w:t>
      </w:r>
    </w:p>
    <w:p w14:paraId="23FC7825" w14:textId="5FD05B2E" w:rsidR="00307B08" w:rsidRPr="00307B08" w:rsidRDefault="00307B08" w:rsidP="00E645E4">
      <w:pPr>
        <w:widowControl w:val="0"/>
        <w:spacing w:after="0" w:line="192" w:lineRule="auto"/>
        <w:ind w:hanging="1"/>
        <w:jc w:val="lowKashida"/>
        <w:rPr>
          <w:rFonts w:ascii="Traditional Arabic" w:hAnsi="Traditional Arabic" w:cs="Royal Arabic"/>
          <w:sz w:val="44"/>
          <w:szCs w:val="44"/>
          <w:rtl/>
          <w:lang w:bidi="ar-JO"/>
        </w:rPr>
      </w:pPr>
      <w:r w:rsidRPr="00307B08">
        <w:rPr>
          <w:rFonts w:ascii="Traditional Arabic" w:eastAsia="Times New Roman" w:hAnsi="Traditional Arabic" w:cs="Royal Arabic" w:hint="cs"/>
          <w:sz w:val="44"/>
          <w:szCs w:val="44"/>
          <w:rtl/>
          <w:lang w:bidi="ar-JO"/>
        </w:rPr>
        <w:t>المحكمة</w:t>
      </w:r>
      <w:r w:rsidRPr="00307B08">
        <w:rPr>
          <w:rFonts w:ascii="Traditional Arabic" w:hAnsi="Traditional Arabic" w:cs="Royal Arabic" w:hint="cs"/>
          <w:sz w:val="44"/>
          <w:szCs w:val="44"/>
          <w:rtl/>
          <w:lang w:bidi="ar-JO"/>
        </w:rPr>
        <w:t xml:space="preserve">: </w:t>
      </w:r>
      <w:r w:rsidR="00E645E4">
        <w:rPr>
          <w:rFonts w:ascii="Traditional Arabic" w:hAnsi="Traditional Arabic" w:cs="Royal Arabic" w:hint="cs"/>
          <w:sz w:val="44"/>
          <w:szCs w:val="44"/>
          <w:rtl/>
          <w:lang w:bidi="ar-JO"/>
        </w:rPr>
        <w:t xml:space="preserve">المحكمة </w:t>
      </w:r>
      <w:r w:rsidRPr="00307B08">
        <w:rPr>
          <w:rFonts w:ascii="Traditional Arabic" w:hAnsi="Traditional Arabic" w:cs="Royal Arabic" w:hint="cs"/>
          <w:sz w:val="44"/>
          <w:szCs w:val="44"/>
          <w:rtl/>
          <w:lang w:bidi="ar-JO"/>
        </w:rPr>
        <w:t xml:space="preserve">الإدارية </w:t>
      </w:r>
      <w:r w:rsidR="000E2911">
        <w:rPr>
          <w:rFonts w:ascii="Traditional Arabic" w:hAnsi="Traditional Arabic" w:cs="Royal Arabic" w:hint="cs"/>
          <w:sz w:val="44"/>
          <w:szCs w:val="44"/>
          <w:rtl/>
          <w:lang w:bidi="ar-JO"/>
        </w:rPr>
        <w:t>بالرياض</w:t>
      </w:r>
      <w:r w:rsidRPr="00307B08">
        <w:rPr>
          <w:rFonts w:ascii="Traditional Arabic" w:hAnsi="Traditional Arabic" w:cs="Royal Arabic" w:hint="cs"/>
          <w:sz w:val="44"/>
          <w:szCs w:val="44"/>
          <w:rtl/>
          <w:lang w:bidi="ar-JO"/>
        </w:rPr>
        <w:t>.</w:t>
      </w:r>
    </w:p>
    <w:p w14:paraId="2799DA5E" w14:textId="76886374" w:rsidR="007C253D" w:rsidRPr="00307B08" w:rsidRDefault="00307B08" w:rsidP="00B73A1E">
      <w:pPr>
        <w:widowControl w:val="0"/>
        <w:spacing w:after="0" w:line="192" w:lineRule="auto"/>
        <w:ind w:hanging="1"/>
        <w:jc w:val="lowKashida"/>
        <w:rPr>
          <w:rFonts w:asciiTheme="minorBidi" w:hAnsiTheme="minorBidi" w:cs="Royal Arabic"/>
          <w:b/>
          <w:bCs/>
          <w:sz w:val="44"/>
          <w:szCs w:val="44"/>
          <w:u w:val="single"/>
          <w:rtl/>
        </w:rPr>
      </w:pPr>
      <w:r w:rsidRPr="00307B08">
        <w:rPr>
          <w:rFonts w:ascii="Traditional Arabic" w:hAnsi="Traditional Arabic" w:cs="Royal Arabic" w:hint="cs"/>
          <w:sz w:val="44"/>
          <w:szCs w:val="44"/>
          <w:rtl/>
          <w:lang w:bidi="ar-JO"/>
        </w:rPr>
        <w:t xml:space="preserve">رقم </w:t>
      </w:r>
      <w:r w:rsidRPr="00307B08">
        <w:rPr>
          <w:rFonts w:ascii="Traditional Arabic" w:eastAsia="Times New Roman" w:hAnsi="Traditional Arabic" w:cs="Royal Arabic" w:hint="cs"/>
          <w:sz w:val="44"/>
          <w:szCs w:val="44"/>
          <w:rtl/>
          <w:lang w:bidi="ar-JO"/>
        </w:rPr>
        <w:t>الدعوى</w:t>
      </w:r>
      <w:r w:rsidRPr="00307B08">
        <w:rPr>
          <w:rFonts w:ascii="Traditional Arabic" w:hAnsi="Traditional Arabic" w:cs="Royal Arabic" w:hint="cs"/>
          <w:sz w:val="44"/>
          <w:szCs w:val="44"/>
          <w:rtl/>
          <w:lang w:bidi="ar-JO"/>
        </w:rPr>
        <w:t xml:space="preserve">: </w:t>
      </w:r>
      <w:r w:rsidR="00B73A1E">
        <w:rPr>
          <w:rFonts w:ascii="Traditional Arabic" w:hAnsi="Traditional Arabic" w:cs="Royal Arabic" w:hint="cs"/>
          <w:sz w:val="44"/>
          <w:szCs w:val="44"/>
          <w:rtl/>
          <w:lang w:bidi="ar-JO"/>
        </w:rPr>
        <w:t>19119</w:t>
      </w:r>
      <w:r w:rsidRPr="00307B08">
        <w:rPr>
          <w:rFonts w:ascii="Traditional Arabic" w:hAnsi="Traditional Arabic" w:cs="Royal Arabic" w:hint="cs"/>
          <w:sz w:val="44"/>
          <w:szCs w:val="44"/>
          <w:rtl/>
          <w:lang w:bidi="ar-JO"/>
        </w:rPr>
        <w:t xml:space="preserve"> لعام </w:t>
      </w:r>
      <w:r w:rsidR="00E645E4">
        <w:rPr>
          <w:rFonts w:ascii="Traditional Arabic" w:hAnsi="Traditional Arabic" w:cs="Royal Arabic" w:hint="cs"/>
          <w:sz w:val="44"/>
          <w:szCs w:val="44"/>
          <w:rtl/>
          <w:lang w:bidi="ar-JO"/>
        </w:rPr>
        <w:t>١٤٤٦هـ</w:t>
      </w:r>
    </w:p>
    <w:p w14:paraId="545B0118" w14:textId="7B46292D" w:rsidR="00307B08" w:rsidRDefault="00307B08" w:rsidP="00B73A1E">
      <w:pPr>
        <w:widowControl w:val="0"/>
        <w:spacing w:after="0" w:line="192" w:lineRule="auto"/>
        <w:ind w:hanging="1"/>
        <w:jc w:val="lowKashida"/>
        <w:rPr>
          <w:rFonts w:asciiTheme="minorBidi" w:hAnsiTheme="minorBidi" w:cs="Royal Arabic"/>
          <w:sz w:val="44"/>
          <w:szCs w:val="44"/>
          <w:rtl/>
        </w:rPr>
      </w:pPr>
      <w:r w:rsidRPr="00307B08">
        <w:rPr>
          <w:rFonts w:asciiTheme="minorBidi" w:hAnsiTheme="minorBidi" w:cs="Royal Arabic" w:hint="cs"/>
          <w:sz w:val="44"/>
          <w:szCs w:val="44"/>
          <w:rtl/>
        </w:rPr>
        <w:t>موضوعها:</w:t>
      </w:r>
      <w:r w:rsidRPr="00307B08">
        <w:rPr>
          <w:rFonts w:asciiTheme="minorBidi" w:hAnsiTheme="minorBidi" w:cs="Royal Arabic" w:hint="cs"/>
          <w:b/>
          <w:bCs/>
          <w:sz w:val="44"/>
          <w:szCs w:val="44"/>
          <w:rtl/>
        </w:rPr>
        <w:t xml:space="preserve"> </w:t>
      </w:r>
      <w:r w:rsidR="00B73A1E" w:rsidRPr="00B73A1E">
        <w:rPr>
          <w:rFonts w:asciiTheme="minorBidi" w:hAnsiTheme="minorBidi" w:cs="Royal Arabic" w:hint="cs"/>
          <w:sz w:val="44"/>
          <w:szCs w:val="44"/>
          <w:rtl/>
        </w:rPr>
        <w:t>إلغا</w:t>
      </w:r>
      <w:r w:rsidR="00B73A1E">
        <w:rPr>
          <w:rFonts w:asciiTheme="minorBidi" w:hAnsiTheme="minorBidi" w:cs="Royal Arabic" w:hint="cs"/>
          <w:sz w:val="44"/>
          <w:szCs w:val="44"/>
          <w:rtl/>
        </w:rPr>
        <w:t>ء قرار لجنة الترقيات بعدم ال</w:t>
      </w:r>
      <w:bookmarkStart w:id="0" w:name="_GoBack"/>
      <w:bookmarkEnd w:id="0"/>
      <w:r w:rsidR="00B73A1E">
        <w:rPr>
          <w:rFonts w:asciiTheme="minorBidi" w:hAnsiTheme="minorBidi" w:cs="Royal Arabic" w:hint="cs"/>
          <w:sz w:val="44"/>
          <w:szCs w:val="44"/>
          <w:rtl/>
        </w:rPr>
        <w:t>ترقية</w:t>
      </w:r>
      <w:r w:rsidR="005B017B">
        <w:rPr>
          <w:rFonts w:asciiTheme="minorBidi" w:hAnsiTheme="minorBidi" w:cs="Royal Arabic" w:hint="cs"/>
          <w:sz w:val="44"/>
          <w:szCs w:val="44"/>
          <w:rtl/>
        </w:rPr>
        <w:t>.</w:t>
      </w:r>
    </w:p>
    <w:p w14:paraId="4245D15B" w14:textId="19695095" w:rsidR="00307B08" w:rsidRPr="00F77420" w:rsidRDefault="00307B08" w:rsidP="00B73A1E">
      <w:pPr>
        <w:widowControl w:val="0"/>
        <w:spacing w:after="0" w:line="192" w:lineRule="auto"/>
        <w:ind w:hanging="1"/>
        <w:jc w:val="lowKashida"/>
        <w:rPr>
          <w:rFonts w:asciiTheme="minorBidi" w:hAnsiTheme="minorBidi" w:cs="Royal Arabic"/>
          <w:sz w:val="44"/>
          <w:szCs w:val="44"/>
          <w:rtl/>
        </w:rPr>
      </w:pPr>
      <w:r w:rsidRPr="00307B08">
        <w:rPr>
          <w:rFonts w:ascii="Traditional Arabic" w:eastAsia="Times New Roman" w:hAnsi="Traditional Arabic" w:cs="Royal Arabic" w:hint="cs"/>
          <w:sz w:val="44"/>
          <w:szCs w:val="44"/>
          <w:rtl/>
          <w:lang w:bidi="ar-JO"/>
        </w:rPr>
        <w:t>المدعي</w:t>
      </w:r>
      <w:r>
        <w:rPr>
          <w:rFonts w:asciiTheme="minorBidi" w:hAnsiTheme="minorBidi" w:cs="Royal Arabic" w:hint="cs"/>
          <w:sz w:val="44"/>
          <w:szCs w:val="44"/>
          <w:rtl/>
        </w:rPr>
        <w:t xml:space="preserve">: </w:t>
      </w:r>
      <w:r w:rsidR="00B73A1E" w:rsidRPr="00B73A1E">
        <w:rPr>
          <w:rFonts w:asciiTheme="minorBidi" w:hAnsiTheme="minorBidi" w:cs="Royal Arabic" w:hint="cs"/>
          <w:sz w:val="44"/>
          <w:szCs w:val="44"/>
          <w:rtl/>
        </w:rPr>
        <w:t xml:space="preserve">محمد بن </w:t>
      </w:r>
      <w:proofErr w:type="gramStart"/>
      <w:r w:rsidR="00B73A1E" w:rsidRPr="00B73A1E">
        <w:rPr>
          <w:rFonts w:asciiTheme="minorBidi" w:hAnsiTheme="minorBidi" w:cs="Royal Arabic" w:hint="cs"/>
          <w:sz w:val="44"/>
          <w:szCs w:val="44"/>
          <w:rtl/>
        </w:rPr>
        <w:t>عبدالله</w:t>
      </w:r>
      <w:proofErr w:type="gramEnd"/>
      <w:r w:rsidR="00B73A1E" w:rsidRPr="00B73A1E">
        <w:rPr>
          <w:rFonts w:asciiTheme="minorBidi" w:hAnsiTheme="minorBidi" w:cs="Royal Arabic" w:hint="cs"/>
          <w:sz w:val="44"/>
          <w:szCs w:val="44"/>
          <w:rtl/>
        </w:rPr>
        <w:t xml:space="preserve"> الفراج </w:t>
      </w:r>
      <w:r>
        <w:rPr>
          <w:rFonts w:asciiTheme="minorBidi" w:hAnsiTheme="minorBidi" w:cs="Royal Arabic" w:hint="cs"/>
          <w:sz w:val="44"/>
          <w:szCs w:val="44"/>
          <w:rtl/>
        </w:rPr>
        <w:t>(</w:t>
      </w:r>
      <w:r w:rsidR="00F77420">
        <w:rPr>
          <w:rFonts w:asciiTheme="minorBidi" w:hAnsiTheme="minorBidi" w:cs="Royal Arabic" w:hint="cs"/>
          <w:sz w:val="44"/>
          <w:szCs w:val="44"/>
          <w:rtl/>
        </w:rPr>
        <w:t xml:space="preserve">سجل </w:t>
      </w:r>
      <w:r w:rsidR="00382E55">
        <w:rPr>
          <w:rFonts w:asciiTheme="minorBidi" w:hAnsiTheme="minorBidi" w:cs="Royal Arabic" w:hint="cs"/>
          <w:sz w:val="44"/>
          <w:szCs w:val="44"/>
          <w:rtl/>
        </w:rPr>
        <w:t>مدني</w:t>
      </w:r>
      <w:r>
        <w:rPr>
          <w:rFonts w:asciiTheme="minorBidi" w:hAnsiTheme="minorBidi" w:cs="Royal Arabic" w:hint="cs"/>
          <w:sz w:val="44"/>
          <w:szCs w:val="44"/>
          <w:rtl/>
        </w:rPr>
        <w:t>/</w:t>
      </w:r>
      <w:r w:rsidR="00F77420">
        <w:rPr>
          <w:rFonts w:asciiTheme="minorBidi" w:hAnsiTheme="minorBidi" w:cs="Royal Arabic" w:hint="cs"/>
          <w:sz w:val="44"/>
          <w:szCs w:val="44"/>
          <w:rtl/>
        </w:rPr>
        <w:t xml:space="preserve"> </w:t>
      </w:r>
      <w:r w:rsidR="00B73A1E">
        <w:rPr>
          <w:rFonts w:asciiTheme="minorBidi" w:hAnsiTheme="minorBidi" w:cs="Royal Arabic" w:hint="cs"/>
          <w:sz w:val="44"/>
          <w:szCs w:val="44"/>
          <w:rtl/>
        </w:rPr>
        <w:t>1075313724</w:t>
      </w:r>
      <w:r>
        <w:rPr>
          <w:rFonts w:asciiTheme="minorBidi" w:hAnsiTheme="minorBidi" w:cs="Royal Arabic" w:hint="cs"/>
          <w:sz w:val="44"/>
          <w:szCs w:val="44"/>
          <w:rtl/>
        </w:rPr>
        <w:t>)</w:t>
      </w:r>
      <w:r w:rsidR="00F77420">
        <w:rPr>
          <w:rFonts w:asciiTheme="minorBidi" w:hAnsiTheme="minorBidi" w:cs="Royal Arabic" w:hint="cs"/>
          <w:sz w:val="44"/>
          <w:szCs w:val="44"/>
          <w:rtl/>
        </w:rPr>
        <w:t>.</w:t>
      </w:r>
    </w:p>
    <w:p w14:paraId="0B7D6F85" w14:textId="6DC6AA65" w:rsidR="00307B08" w:rsidRDefault="00307B08" w:rsidP="00E645E4">
      <w:pPr>
        <w:widowControl w:val="0"/>
        <w:spacing w:after="0" w:line="192" w:lineRule="auto"/>
        <w:ind w:hanging="1"/>
        <w:jc w:val="lowKashida"/>
        <w:rPr>
          <w:rFonts w:asciiTheme="minorBidi" w:hAnsiTheme="minorBidi" w:cs="Royal Arabic"/>
          <w:sz w:val="44"/>
          <w:szCs w:val="44"/>
          <w:rtl/>
        </w:rPr>
      </w:pPr>
      <w:r w:rsidRPr="00F77420">
        <w:rPr>
          <w:rFonts w:asciiTheme="minorBidi" w:hAnsiTheme="minorBidi" w:cs="Royal Arabic" w:hint="cs"/>
          <w:sz w:val="44"/>
          <w:szCs w:val="44"/>
          <w:rtl/>
        </w:rPr>
        <w:t>المدعى</w:t>
      </w:r>
      <w:r>
        <w:rPr>
          <w:rFonts w:asciiTheme="minorBidi" w:hAnsiTheme="minorBidi" w:cs="Royal Arabic" w:hint="cs"/>
          <w:sz w:val="44"/>
          <w:szCs w:val="44"/>
          <w:rtl/>
        </w:rPr>
        <w:t xml:space="preserve"> عليه: </w:t>
      </w:r>
      <w:r w:rsidR="00E645E4">
        <w:rPr>
          <w:rFonts w:asciiTheme="minorBidi" w:hAnsiTheme="minorBidi" w:cs="Royal Arabic" w:hint="cs"/>
          <w:sz w:val="44"/>
          <w:szCs w:val="44"/>
          <w:rtl/>
        </w:rPr>
        <w:t>ديوان المظالم</w:t>
      </w:r>
      <w:r>
        <w:rPr>
          <w:rFonts w:asciiTheme="minorBidi" w:hAnsiTheme="minorBidi" w:cs="Royal Arabic" w:hint="cs"/>
          <w:sz w:val="44"/>
          <w:szCs w:val="44"/>
          <w:rtl/>
        </w:rPr>
        <w:t>.</w:t>
      </w:r>
    </w:p>
    <w:p w14:paraId="662C0486" w14:textId="77777777" w:rsidR="00307B08" w:rsidRPr="00307B08" w:rsidRDefault="00307B08" w:rsidP="00E645E4">
      <w:pPr>
        <w:spacing w:line="192" w:lineRule="auto"/>
        <w:jc w:val="center"/>
        <w:rPr>
          <w:rFonts w:asciiTheme="minorBidi" w:hAnsiTheme="minorBidi" w:cs="Royal Arabic"/>
          <w:sz w:val="44"/>
          <w:szCs w:val="44"/>
          <w:rtl/>
        </w:rPr>
      </w:pPr>
      <w:r w:rsidRPr="006A01BE">
        <w:rPr>
          <w:rFonts w:cs="Royal Arabic" w:hint="cs"/>
          <w:b/>
          <w:bCs/>
          <w:sz w:val="44"/>
          <w:szCs w:val="44"/>
          <w:rtl/>
        </w:rPr>
        <w:t>ـــــــــــــــــــــــــــــــــــــ</w:t>
      </w:r>
    </w:p>
    <w:p w14:paraId="0F8A5142" w14:textId="77777777" w:rsidR="00B73A1E" w:rsidRDefault="00B73A1E" w:rsidP="00B73A1E">
      <w:pPr>
        <w:widowControl w:val="0"/>
        <w:spacing w:after="0" w:line="240" w:lineRule="auto"/>
        <w:jc w:val="both"/>
        <w:rPr>
          <w:rFonts w:ascii="Traditional Arabic" w:eastAsia="Times New Roman" w:hAnsi="Traditional Arabic" w:cs="Royal Arabic"/>
          <w:sz w:val="38"/>
          <w:szCs w:val="38"/>
          <w:rtl/>
        </w:rPr>
      </w:pPr>
    </w:p>
    <w:p w14:paraId="69F87CC7" w14:textId="485C025B" w:rsidR="00B73A1E" w:rsidRPr="00B73A1E" w:rsidRDefault="00B73A1E" w:rsidP="00B73A1E">
      <w:pPr>
        <w:widowControl w:val="0"/>
        <w:spacing w:after="0" w:line="240" w:lineRule="auto"/>
        <w:jc w:val="both"/>
        <w:rPr>
          <w:rFonts w:ascii="Traditional Arabic" w:eastAsia="Times New Roman" w:hAnsi="Traditional Arabic" w:cs="Royal Arabic" w:hint="cs"/>
          <w:b/>
          <w:bCs/>
          <w:sz w:val="38"/>
          <w:szCs w:val="38"/>
          <w:rtl/>
        </w:rPr>
      </w:pPr>
      <w:r w:rsidRPr="00B73A1E">
        <w:rPr>
          <w:rFonts w:ascii="Traditional Arabic" w:eastAsia="Times New Roman" w:hAnsi="Traditional Arabic" w:cs="Royal Arabic" w:hint="cs"/>
          <w:b/>
          <w:bCs/>
          <w:sz w:val="38"/>
          <w:szCs w:val="38"/>
          <w:rtl/>
        </w:rPr>
        <w:t>فضيلة رئيس الدائرة الخامسة عشرة بالمحكمة الإدارية بالرياض    سلمه الله</w:t>
      </w:r>
    </w:p>
    <w:p w14:paraId="7CD7C0D2" w14:textId="77777777" w:rsidR="00B73A1E" w:rsidRPr="00B73A1E" w:rsidRDefault="00B73A1E" w:rsidP="00B73A1E">
      <w:pPr>
        <w:widowControl w:val="0"/>
        <w:spacing w:after="0" w:line="240" w:lineRule="auto"/>
        <w:jc w:val="both"/>
        <w:rPr>
          <w:rFonts w:ascii="Traditional Arabic" w:eastAsia="Times New Roman" w:hAnsi="Traditional Arabic" w:cs="Royal Arabic" w:hint="cs"/>
          <w:sz w:val="38"/>
          <w:szCs w:val="38"/>
          <w:rtl/>
        </w:rPr>
      </w:pPr>
      <w:r w:rsidRPr="00B73A1E">
        <w:rPr>
          <w:rFonts w:ascii="Traditional Arabic" w:eastAsia="Times New Roman" w:hAnsi="Traditional Arabic" w:cs="Royal Arabic" w:hint="cs"/>
          <w:sz w:val="38"/>
          <w:szCs w:val="38"/>
          <w:rtl/>
        </w:rPr>
        <w:t xml:space="preserve">إشارة إلى الدعوى المقامة من/ محمد بن </w:t>
      </w:r>
      <w:proofErr w:type="gramStart"/>
      <w:r w:rsidRPr="00B73A1E">
        <w:rPr>
          <w:rFonts w:ascii="Traditional Arabic" w:eastAsia="Times New Roman" w:hAnsi="Traditional Arabic" w:cs="Royal Arabic" w:hint="cs"/>
          <w:sz w:val="38"/>
          <w:szCs w:val="38"/>
          <w:rtl/>
        </w:rPr>
        <w:t>عبدالله</w:t>
      </w:r>
      <w:proofErr w:type="gramEnd"/>
      <w:r w:rsidRPr="00B73A1E">
        <w:rPr>
          <w:rFonts w:ascii="Traditional Arabic" w:eastAsia="Times New Roman" w:hAnsi="Traditional Arabic" w:cs="Royal Arabic" w:hint="cs"/>
          <w:sz w:val="38"/>
          <w:szCs w:val="38"/>
          <w:rtl/>
        </w:rPr>
        <w:t xml:space="preserve"> الفراج ضد/ ديوان المظالم، والتي يطلب فيها: (إلغاء قرار لجنة الترقيات بعدم ترقيته).</w:t>
      </w:r>
    </w:p>
    <w:p w14:paraId="7C0D3305" w14:textId="47E3C6E3" w:rsidR="00B73A1E" w:rsidRPr="00B73A1E" w:rsidRDefault="00B73A1E" w:rsidP="00B73A1E">
      <w:pPr>
        <w:widowControl w:val="0"/>
        <w:spacing w:after="0" w:line="240" w:lineRule="auto"/>
        <w:jc w:val="both"/>
        <w:rPr>
          <w:rFonts w:ascii="Traditional Arabic" w:eastAsia="Times New Roman" w:hAnsi="Traditional Arabic" w:cs="Royal Arabic" w:hint="cs"/>
          <w:sz w:val="38"/>
          <w:szCs w:val="38"/>
          <w:rtl/>
        </w:rPr>
      </w:pPr>
      <w:r>
        <w:rPr>
          <w:rFonts w:ascii="Traditional Arabic" w:eastAsia="Times New Roman" w:hAnsi="Traditional Arabic" w:cs="Royal Arabic" w:hint="cs"/>
          <w:sz w:val="38"/>
          <w:szCs w:val="38"/>
          <w:rtl/>
        </w:rPr>
        <w:t>فال</w:t>
      </w:r>
      <w:r w:rsidRPr="00B73A1E">
        <w:rPr>
          <w:rFonts w:ascii="Traditional Arabic" w:eastAsia="Times New Roman" w:hAnsi="Traditional Arabic" w:cs="Royal Arabic" w:hint="cs"/>
          <w:sz w:val="38"/>
          <w:szCs w:val="38"/>
          <w:rtl/>
        </w:rPr>
        <w:t xml:space="preserve">جواب </w:t>
      </w:r>
      <w:r>
        <w:rPr>
          <w:rFonts w:ascii="Traditional Arabic" w:eastAsia="Times New Roman" w:hAnsi="Traditional Arabic" w:cs="Royal Arabic" w:hint="cs"/>
          <w:sz w:val="38"/>
          <w:szCs w:val="38"/>
          <w:rtl/>
        </w:rPr>
        <w:t xml:space="preserve">عن </w:t>
      </w:r>
      <w:r w:rsidRPr="00B73A1E">
        <w:rPr>
          <w:rFonts w:ascii="Traditional Arabic" w:eastAsia="Times New Roman" w:hAnsi="Traditional Arabic" w:cs="Royal Arabic" w:hint="cs"/>
          <w:sz w:val="38"/>
          <w:szCs w:val="38"/>
          <w:rtl/>
        </w:rPr>
        <w:t>الدعوى في البنود التالية:</w:t>
      </w:r>
    </w:p>
    <w:p w14:paraId="216B350A" w14:textId="77777777" w:rsidR="00B73A1E" w:rsidRPr="00B73A1E" w:rsidRDefault="00B73A1E" w:rsidP="00B73A1E">
      <w:pPr>
        <w:widowControl w:val="0"/>
        <w:spacing w:after="0" w:line="240" w:lineRule="auto"/>
        <w:jc w:val="both"/>
        <w:rPr>
          <w:rFonts w:ascii="Traditional Arabic" w:eastAsia="Times New Roman" w:hAnsi="Traditional Arabic" w:cs="Royal Arabic" w:hint="cs"/>
          <w:sz w:val="38"/>
          <w:szCs w:val="38"/>
          <w:rtl/>
        </w:rPr>
      </w:pPr>
      <w:r w:rsidRPr="00B73A1E">
        <w:rPr>
          <w:rFonts w:ascii="Traditional Arabic" w:eastAsia="Times New Roman" w:hAnsi="Traditional Arabic" w:cs="Royal Arabic" w:hint="cs"/>
          <w:b/>
          <w:bCs/>
          <w:sz w:val="38"/>
          <w:szCs w:val="38"/>
          <w:rtl/>
        </w:rPr>
        <w:t>أولاً/</w:t>
      </w:r>
      <w:r w:rsidRPr="00B73A1E">
        <w:rPr>
          <w:rFonts w:ascii="Traditional Arabic" w:eastAsia="Times New Roman" w:hAnsi="Traditional Arabic" w:cs="Royal Arabic" w:hint="cs"/>
          <w:sz w:val="38"/>
          <w:szCs w:val="38"/>
          <w:rtl/>
        </w:rPr>
        <w:t xml:space="preserve"> المبدأ المستقر في الأنظمة واللوائح والذي استقر عليه العمل في القضاء الإداري، هو أن الترقية سلطة تقديرية للجهة الإدارية وليست حقاً مكتسباً للموظف، وهو ما أكدته صراحة المادة (47) من اللائحة التنفيذية للموارد البشرية بنصها على أن: "تعد الترقية وسيلة للتقدم والتطور الوظيفي للموظف وترتبط بمستوى أدائه، ولا تعد بأي حال من الأحوال استحقاقاً ملزماً على الجهة الحكومية تجاه موظفيها". وتأكيداً لهذا المبدأ، جاءت المادة (48) من اللائحة ذاتها لتنص على أنه: "يجوز ترقية الموظف للمرتبة (العاشرة فما دون) بالشروط التالية..."، وبالتالي فإنه على فرض توفر كافة شروط استحقاق الترقية في الموظف فإنه لا تجب على جهته ترقيته بل يجوز لها ذلك، ومن المقرر في الفقه الإداري أن ما أناطه المشرع بسلطة الإدارة التقديرية وعلقه على محض جوازها، لا يُسوغ للقضاء أن يُلزم الإدارة به أو أن يحل محلها في تقديره.</w:t>
      </w:r>
    </w:p>
    <w:p w14:paraId="28DE7B9A" w14:textId="77777777" w:rsidR="00B73A1E" w:rsidRPr="00B73A1E" w:rsidRDefault="00B73A1E" w:rsidP="00B73A1E">
      <w:pPr>
        <w:widowControl w:val="0"/>
        <w:spacing w:after="0" w:line="240" w:lineRule="auto"/>
        <w:jc w:val="both"/>
        <w:rPr>
          <w:rFonts w:ascii="Traditional Arabic" w:eastAsia="Times New Roman" w:hAnsi="Traditional Arabic" w:cs="Royal Arabic" w:hint="cs"/>
          <w:sz w:val="38"/>
          <w:szCs w:val="38"/>
          <w:rtl/>
        </w:rPr>
      </w:pPr>
      <w:r w:rsidRPr="00B73A1E">
        <w:rPr>
          <w:rFonts w:ascii="Traditional Arabic" w:eastAsia="Times New Roman" w:hAnsi="Traditional Arabic" w:cs="Royal Arabic" w:hint="cs"/>
          <w:b/>
          <w:bCs/>
          <w:sz w:val="38"/>
          <w:szCs w:val="38"/>
          <w:rtl/>
        </w:rPr>
        <w:t>ثانياً/</w:t>
      </w:r>
      <w:r w:rsidRPr="00B73A1E">
        <w:rPr>
          <w:rFonts w:ascii="Traditional Arabic" w:eastAsia="Times New Roman" w:hAnsi="Traditional Arabic" w:cs="Royal Arabic" w:hint="cs"/>
          <w:sz w:val="38"/>
          <w:szCs w:val="38"/>
          <w:rtl/>
        </w:rPr>
        <w:t xml:space="preserve"> بشأن ما أثاره المدعي من أن القرار محل الدعوى معيب بعيب مخالفة النظم واللوائح لعدم تفعيل المادة الثامنة الفقرة (1) من اللائحة التنفيذية للموارد البشرية في الخدمة المدنية: فإن هذا الادعاء مردود عليه من وجوه عدة؛ ذلك أن المادة (52) من اللائحة التنفيذية للموارد البشرية قد حددت معايير </w:t>
      </w:r>
      <w:r w:rsidRPr="00B73A1E">
        <w:rPr>
          <w:rFonts w:ascii="Traditional Arabic" w:eastAsia="Times New Roman" w:hAnsi="Traditional Arabic" w:cs="Royal Arabic" w:hint="cs"/>
          <w:sz w:val="38"/>
          <w:szCs w:val="38"/>
          <w:rtl/>
        </w:rPr>
        <w:lastRenderedPageBreak/>
        <w:t>المفاضلة بين الموظفين المرشحين للترقية، حيث نصت على أن: "تكون المفاضلة بين الموظفين الذين تتوفر لديهم شروط الترقية وفقاً لنتائج تقويم الأداء الوظيفي للسنة الأخيرة كمعيار مفاضلة رئيسي، إضافة إلى جميع أو بعض المعايير الآتية على ألا يقل عدد معايير المفاضلة المستخدمة عن معيارين اثنين"، ثم عددت المعايير التي يمكن الاستناد إليها، وقد منحت الفقرة (ب) من المادة ذاتها الوزير المختص صلاحية "اختيار المعايير الملائمة وتحديد أوزانها والعنصر المرجح وفق ما يراه"، وألزمت الفقرة (ج) الجهة الحكومية بإعلان المعايير والأوزان التي ستستخدم خلال المفاضلة قبل الإعلان عنها، وعليه، فإن الجهة المدعى عليها قد اختارت المعايير المناسبة للمفاضلة وفق سلطتها التقديرية المخولة لها نظاماً، وهي معايير (تقييم الأداء، التدريب، المقابلة الشخصية)، وليس في هذا الاختيار ما يخالف النظم واللوائح؛ إذ إن المادة (52) أجازت للجهة اختيار "بعض المعايير" وليس جميعها، وعليه فإن اقتصار المفاضلة على المعايير المذكورة دون معيار "المبادرات والإنجازات" يدخل ضمن السلطة التقديرية للجهة الإدارية التي كفلها لها النظام، أما استناد المدعي على المادة الثامنة الفقرة (1) من اللائحة فهو استناد في غير محله؛ ذلك أن هذه المادة تتعلق بالمبادئ العامة لبناء ثقافة مؤسسية إيجابية ولا تُشكل - بذاتها - معياراً ملزماً للمفاضلة في الترقيات، بل إن تفعيل هذه المادة يتحقق من خلال وسائل متعددة من بينها إتاحة الفرصة لتقديم المبادرات واعتمادها، وهو ما تم بالفعل مع المدعي، مما يعد تطبيقاً سليماً لمقتضى هذه المادة.</w:t>
      </w:r>
    </w:p>
    <w:p w14:paraId="7A389AE8" w14:textId="77777777" w:rsidR="00B73A1E" w:rsidRPr="00B73A1E" w:rsidRDefault="00B73A1E" w:rsidP="00B73A1E">
      <w:pPr>
        <w:widowControl w:val="0"/>
        <w:spacing w:after="0" w:line="240" w:lineRule="auto"/>
        <w:jc w:val="both"/>
        <w:rPr>
          <w:rFonts w:ascii="Traditional Arabic" w:eastAsia="Times New Roman" w:hAnsi="Traditional Arabic" w:cs="Royal Arabic" w:hint="cs"/>
          <w:sz w:val="38"/>
          <w:szCs w:val="38"/>
          <w:rtl/>
        </w:rPr>
      </w:pPr>
      <w:r w:rsidRPr="00B73A1E">
        <w:rPr>
          <w:rFonts w:ascii="Traditional Arabic" w:eastAsia="Times New Roman" w:hAnsi="Traditional Arabic" w:cs="Royal Arabic" w:hint="cs"/>
          <w:b/>
          <w:bCs/>
          <w:sz w:val="38"/>
          <w:szCs w:val="38"/>
          <w:rtl/>
        </w:rPr>
        <w:t xml:space="preserve">ثالثاً/ </w:t>
      </w:r>
      <w:r w:rsidRPr="00B73A1E">
        <w:rPr>
          <w:rFonts w:ascii="Traditional Arabic" w:eastAsia="Times New Roman" w:hAnsi="Traditional Arabic" w:cs="Royal Arabic" w:hint="cs"/>
          <w:sz w:val="38"/>
          <w:szCs w:val="38"/>
          <w:rtl/>
        </w:rPr>
        <w:t>فيما يتعلق بادعاء المدعي بشأن افتقاره للقيادة والتأثير: فإن تقدير هذه المهارات يدخل ضمن التقييم الفني الذي تختص به لجنة المقابلة الشخصية، ولا معقب على تقديرها في هذا الشأن طالما التزمت بالإجراءات والضوابط النظامية المحددة، وخلت من التعسف والانحراف، ولا يؤثر في ذلك ما ذكره المدعي من أنه كان رئيساً لقسم الحركة في وظيفة سابقة؛ إذ إن التقييم ينصب على المهارات الحالية للموظف ومدى ملاءمتها للوظيفة المرشح لها، وليس على خبراته السابقة وحدها.</w:t>
      </w:r>
    </w:p>
    <w:p w14:paraId="689BBFEC" w14:textId="77777777" w:rsidR="00B73A1E" w:rsidRPr="00B73A1E" w:rsidRDefault="00B73A1E" w:rsidP="00B73A1E">
      <w:pPr>
        <w:widowControl w:val="0"/>
        <w:spacing w:after="0" w:line="240" w:lineRule="auto"/>
        <w:jc w:val="both"/>
        <w:rPr>
          <w:rFonts w:ascii="Traditional Arabic" w:eastAsia="Times New Roman" w:hAnsi="Traditional Arabic" w:cs="Royal Arabic" w:hint="cs"/>
          <w:b/>
          <w:bCs/>
          <w:sz w:val="38"/>
          <w:szCs w:val="38"/>
          <w:rtl/>
        </w:rPr>
      </w:pPr>
      <w:r w:rsidRPr="00B73A1E">
        <w:rPr>
          <w:rFonts w:ascii="Traditional Arabic" w:eastAsia="Times New Roman" w:hAnsi="Traditional Arabic" w:cs="Royal Arabic" w:hint="cs"/>
          <w:b/>
          <w:bCs/>
          <w:sz w:val="38"/>
          <w:szCs w:val="38"/>
          <w:rtl/>
        </w:rPr>
        <w:t xml:space="preserve">رابعاً/ </w:t>
      </w:r>
      <w:r w:rsidRPr="00B73A1E">
        <w:rPr>
          <w:rFonts w:ascii="Traditional Arabic" w:eastAsia="Times New Roman" w:hAnsi="Traditional Arabic" w:cs="Royal Arabic" w:hint="cs"/>
          <w:sz w:val="38"/>
          <w:szCs w:val="38"/>
          <w:rtl/>
        </w:rPr>
        <w:t xml:space="preserve">وأما بخصوص ما أثاره المدعي من تطبيق المادة (52) الفقرة (د) المتعلقة بالأقدمية كعنصر مرجح في حال التساوي: فإن هذه المادة إنما تُطبق في حال التساوي بين المرشحين بعد تطبيق العنصر المرجح، والثابت من خلال نتائج التقييم الخاصة بالمدعي مقارنة بمن تمت ترقيتهم أنه لم يحدث تساوٍ بينهم، إذ أن درجة المدعي كانت (99.2%) في حين أن أقل درجة تمت الترقية عليها كانت </w:t>
      </w:r>
      <w:r w:rsidRPr="00B73A1E">
        <w:rPr>
          <w:rFonts w:ascii="Traditional Arabic" w:eastAsia="Times New Roman" w:hAnsi="Traditional Arabic" w:cs="Royal Arabic" w:hint="cs"/>
          <w:sz w:val="38"/>
          <w:szCs w:val="38"/>
          <w:rtl/>
        </w:rPr>
        <w:lastRenderedPageBreak/>
        <w:t>(99.4%)، وبالتالي لا محل لتطبيق عنصر الأقدمية في المفاضلة.</w:t>
      </w:r>
    </w:p>
    <w:p w14:paraId="3A1EB480" w14:textId="77777777" w:rsidR="00B73A1E" w:rsidRPr="00B73A1E" w:rsidRDefault="00B73A1E" w:rsidP="00B73A1E">
      <w:pPr>
        <w:widowControl w:val="0"/>
        <w:spacing w:after="0" w:line="240" w:lineRule="auto"/>
        <w:jc w:val="both"/>
        <w:rPr>
          <w:rFonts w:ascii="Traditional Arabic" w:eastAsia="Times New Roman" w:hAnsi="Traditional Arabic" w:cs="Royal Arabic" w:hint="cs"/>
          <w:sz w:val="38"/>
          <w:szCs w:val="38"/>
          <w:rtl/>
        </w:rPr>
      </w:pPr>
      <w:r w:rsidRPr="00B73A1E">
        <w:rPr>
          <w:rFonts w:ascii="Traditional Arabic" w:eastAsia="Times New Roman" w:hAnsi="Traditional Arabic" w:cs="Royal Arabic" w:hint="cs"/>
          <w:b/>
          <w:bCs/>
          <w:sz w:val="38"/>
          <w:szCs w:val="38"/>
          <w:rtl/>
        </w:rPr>
        <w:t xml:space="preserve">خامساً/ </w:t>
      </w:r>
      <w:r w:rsidRPr="00B73A1E">
        <w:rPr>
          <w:rFonts w:ascii="Traditional Arabic" w:eastAsia="Times New Roman" w:hAnsi="Traditional Arabic" w:cs="Royal Arabic" w:hint="cs"/>
          <w:sz w:val="38"/>
          <w:szCs w:val="38"/>
          <w:rtl/>
        </w:rPr>
        <w:t>وفيما يتعلق بادعاء المدعي بوجود قرابة بين رئيس اللجنة وبعض موظفي الجهة المدعى عليها: فإن هذا الادعاء مرسل لم يقدم المدعي ما يؤيده من أدلة أو بينات، بل جاء في صيغة عمومية ولم يحدد المدعي أسماء الموظفين المدعى وجود صلة قرابة بينهم وبين رئيس اللجنة، ولم يبين ما إذا كانوا من المرشحين للترقية أصلاً، وبناءً على القاعدة الشرعية والنظامية "البينة على المدعي"، فإن هذا الادعاء لا يعدو كونه ادعاءً مجرداً لا يقوم عليه دليل، ولا يمكن ترتيب أي أثر قانوني عليه.</w:t>
      </w:r>
    </w:p>
    <w:p w14:paraId="695C578B" w14:textId="77777777" w:rsidR="00B73A1E" w:rsidRDefault="00B73A1E" w:rsidP="00B73A1E">
      <w:pPr>
        <w:widowControl w:val="0"/>
        <w:spacing w:after="0" w:line="240" w:lineRule="auto"/>
        <w:jc w:val="both"/>
        <w:rPr>
          <w:rFonts w:ascii="Traditional Arabic" w:eastAsia="Times New Roman" w:hAnsi="Traditional Arabic" w:cs="Royal Arabic"/>
          <w:b/>
          <w:bCs/>
          <w:sz w:val="38"/>
          <w:szCs w:val="38"/>
          <w:rtl/>
        </w:rPr>
      </w:pPr>
    </w:p>
    <w:p w14:paraId="46FF5E54" w14:textId="475D9D76" w:rsidR="00B73A1E" w:rsidRPr="00B73A1E" w:rsidRDefault="00B73A1E" w:rsidP="00B73A1E">
      <w:pPr>
        <w:widowControl w:val="0"/>
        <w:spacing w:after="0" w:line="240" w:lineRule="auto"/>
        <w:jc w:val="both"/>
        <w:rPr>
          <w:rFonts w:ascii="Traditional Arabic" w:eastAsia="Times New Roman" w:hAnsi="Traditional Arabic" w:cs="Royal Arabic" w:hint="cs"/>
          <w:b/>
          <w:bCs/>
          <w:sz w:val="40"/>
          <w:szCs w:val="40"/>
          <w:rtl/>
        </w:rPr>
      </w:pPr>
      <w:r w:rsidRPr="00B73A1E">
        <w:rPr>
          <w:rFonts w:ascii="Traditional Arabic" w:eastAsia="Times New Roman" w:hAnsi="Traditional Arabic" w:cs="Royal Arabic" w:hint="cs"/>
          <w:b/>
          <w:bCs/>
          <w:sz w:val="40"/>
          <w:szCs w:val="40"/>
          <w:rtl/>
        </w:rPr>
        <w:t xml:space="preserve">واستناداً إلى ما تقدّم؛ فإن الديوان يلتمس من فضيلتكم الحكم برفض الدعوى، لعدم قيامها على أساس نظامي </w:t>
      </w:r>
      <w:proofErr w:type="gramStart"/>
      <w:r w:rsidRPr="00B73A1E">
        <w:rPr>
          <w:rFonts w:ascii="Traditional Arabic" w:eastAsia="Times New Roman" w:hAnsi="Traditional Arabic" w:cs="Royal Arabic" w:hint="cs"/>
          <w:b/>
          <w:bCs/>
          <w:sz w:val="40"/>
          <w:szCs w:val="40"/>
          <w:rtl/>
        </w:rPr>
        <w:t>سليم.</w:t>
      </w:r>
      <w:r w:rsidRPr="00B73A1E">
        <w:rPr>
          <w:rFonts w:ascii="Times New Roman" w:eastAsia="Times New Roman" w:hAnsi="Times New Roman" w:cs="Times New Roman"/>
          <w:b/>
          <w:bCs/>
          <w:sz w:val="40"/>
          <w:szCs w:val="40"/>
        </w:rPr>
        <w:t>​</w:t>
      </w:r>
      <w:proofErr w:type="gramEnd"/>
      <w:r w:rsidRPr="00B73A1E">
        <w:rPr>
          <w:rFonts w:ascii="Times New Roman" w:eastAsia="Times New Roman" w:hAnsi="Times New Roman" w:cs="Times New Roman"/>
          <w:b/>
          <w:bCs/>
          <w:sz w:val="40"/>
          <w:szCs w:val="40"/>
        </w:rPr>
        <w:t>​​​​​​​​​​​​​​​</w:t>
      </w:r>
      <w:r w:rsidRPr="00B73A1E">
        <w:rPr>
          <w:rFonts w:ascii="Traditional Arabic" w:eastAsia="Times New Roman" w:hAnsi="Traditional Arabic" w:cs="Royal Arabic"/>
          <w:b/>
          <w:bCs/>
          <w:sz w:val="40"/>
          <w:szCs w:val="40"/>
          <w:rtl/>
        </w:rPr>
        <w:t xml:space="preserve"> </w:t>
      </w:r>
    </w:p>
    <w:p w14:paraId="65341FA2" w14:textId="275E4538" w:rsidR="003E7805" w:rsidRDefault="005D4AD5" w:rsidP="00E645E4">
      <w:pPr>
        <w:widowControl w:val="0"/>
        <w:spacing w:after="0" w:line="192" w:lineRule="auto"/>
        <w:ind w:left="5760" w:hanging="658"/>
        <w:jc w:val="center"/>
        <w:rPr>
          <w:rFonts w:ascii="Traditional Arabic" w:eastAsia="Times New Roman" w:hAnsi="Traditional Arabic" w:cs="Royal Arabic"/>
          <w:sz w:val="44"/>
          <w:szCs w:val="44"/>
          <w:rtl/>
          <w:lang w:bidi="ar-JO"/>
        </w:rPr>
      </w:pPr>
      <w:r w:rsidRPr="00D02659">
        <w:rPr>
          <w:rFonts w:ascii="Traditional Arabic" w:eastAsia="Times New Roman" w:hAnsi="Traditional Arabic" w:cs="Royal Arabic" w:hint="cs"/>
          <w:sz w:val="44"/>
          <w:szCs w:val="44"/>
          <w:rtl/>
          <w:lang w:bidi="ar-JO"/>
        </w:rPr>
        <w:t xml:space="preserve">                              </w:t>
      </w:r>
      <w:r w:rsidR="00014AB1">
        <w:rPr>
          <w:rFonts w:ascii="Traditional Arabic" w:eastAsia="Times New Roman" w:hAnsi="Traditional Arabic" w:cs="Royal Arabic" w:hint="cs"/>
          <w:sz w:val="44"/>
          <w:szCs w:val="44"/>
          <w:rtl/>
          <w:lang w:bidi="ar-JO"/>
        </w:rPr>
        <w:t xml:space="preserve">                         </w:t>
      </w:r>
      <w:r w:rsidR="00871CEF" w:rsidRPr="00D02659">
        <w:rPr>
          <w:rFonts w:ascii="Traditional Arabic" w:eastAsia="Times New Roman" w:hAnsi="Traditional Arabic" w:cs="Royal Arabic" w:hint="cs"/>
          <w:sz w:val="44"/>
          <w:szCs w:val="44"/>
          <w:rtl/>
          <w:lang w:bidi="ar-JO"/>
        </w:rPr>
        <w:t xml:space="preserve">ممثل </w:t>
      </w:r>
      <w:r w:rsidRPr="00D02659">
        <w:rPr>
          <w:rFonts w:ascii="Traditional Arabic" w:eastAsia="Times New Roman" w:hAnsi="Traditional Arabic" w:cs="Royal Arabic" w:hint="cs"/>
          <w:sz w:val="44"/>
          <w:szCs w:val="44"/>
          <w:rtl/>
          <w:lang w:bidi="ar-JO"/>
        </w:rPr>
        <w:t>ديوان المظالم</w:t>
      </w:r>
    </w:p>
    <w:p w14:paraId="1BAE6664" w14:textId="66924A03" w:rsidR="00D02659" w:rsidRPr="00D02659" w:rsidRDefault="00D02659" w:rsidP="00E645E4">
      <w:pPr>
        <w:widowControl w:val="0"/>
        <w:spacing w:after="0" w:line="192" w:lineRule="auto"/>
        <w:ind w:left="5760" w:hanging="658"/>
        <w:jc w:val="center"/>
        <w:rPr>
          <w:rFonts w:ascii="Traditional Arabic" w:eastAsia="Times New Roman" w:hAnsi="Traditional Arabic" w:cs="Royal Arabic"/>
          <w:sz w:val="44"/>
          <w:szCs w:val="44"/>
          <w:rtl/>
          <w:lang w:bidi="ar-JO"/>
        </w:rPr>
      </w:pPr>
    </w:p>
    <w:p w14:paraId="0C9ACA52" w14:textId="77777777" w:rsidR="007A2FF6" w:rsidRPr="00AE682A" w:rsidRDefault="007A2FF6" w:rsidP="00E645E4">
      <w:pPr>
        <w:widowControl w:val="0"/>
        <w:spacing w:after="0" w:line="192" w:lineRule="auto"/>
        <w:ind w:left="5760" w:hanging="658"/>
        <w:jc w:val="center"/>
        <w:rPr>
          <w:rFonts w:ascii="Traditional Arabic" w:eastAsia="Times New Roman" w:hAnsi="Traditional Arabic" w:cs="Royal Arabic"/>
          <w:sz w:val="44"/>
          <w:szCs w:val="44"/>
          <w:rtl/>
          <w:lang w:bidi="ar-JO"/>
        </w:rPr>
      </w:pPr>
    </w:p>
    <w:sectPr w:rsidR="007A2FF6" w:rsidRPr="00AE682A" w:rsidSect="00E645E4">
      <w:headerReference w:type="default" r:id="rId8"/>
      <w:pgSz w:w="11906" w:h="16838"/>
      <w:pgMar w:top="1440" w:right="1080" w:bottom="1440" w:left="1080" w:header="708" w:footer="708" w:gutter="0"/>
      <w:pgNumType w:start="1" w:chapStyle="4" w:chapSep="enDash"/>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4EA13B9" w14:textId="77777777" w:rsidR="00C33FC7" w:rsidRDefault="00C33FC7" w:rsidP="00BF5FD8">
      <w:pPr>
        <w:spacing w:after="0" w:line="240" w:lineRule="auto"/>
      </w:pPr>
      <w:r>
        <w:separator/>
      </w:r>
    </w:p>
  </w:endnote>
  <w:endnote w:type="continuationSeparator" w:id="0">
    <w:p w14:paraId="2603C054" w14:textId="77777777" w:rsidR="00C33FC7" w:rsidRDefault="00C33FC7" w:rsidP="00BF5F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Royal Arabic">
    <w:panose1 w:val="00000000000000000000"/>
    <w:charset w:val="B2"/>
    <w:family w:val="auto"/>
    <w:pitch w:val="variable"/>
    <w:sig w:usb0="00002001" w:usb1="00000000" w:usb2="00000000" w:usb3="00000000" w:csb0="0000004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Traditional Arabic">
    <w:panose1 w:val="02020603050405020304"/>
    <w:charset w:val="00"/>
    <w:family w:val="roman"/>
    <w:pitch w:val="variable"/>
    <w:sig w:usb0="00002003" w:usb1="80000000" w:usb2="00000008" w:usb3="00000000" w:csb0="0000004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BFA0EAC" w14:textId="77777777" w:rsidR="00C33FC7" w:rsidRDefault="00C33FC7" w:rsidP="00BF5FD8">
      <w:pPr>
        <w:spacing w:after="0" w:line="240" w:lineRule="auto"/>
      </w:pPr>
      <w:r>
        <w:separator/>
      </w:r>
    </w:p>
  </w:footnote>
  <w:footnote w:type="continuationSeparator" w:id="0">
    <w:p w14:paraId="0DCDCEF7" w14:textId="77777777" w:rsidR="00C33FC7" w:rsidRDefault="00C33FC7" w:rsidP="00BF5FD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7B87597" w14:textId="77777777" w:rsidR="00FB2D9A" w:rsidRDefault="00FB2D9A" w:rsidP="00D02659">
    <w:pPr>
      <w:pStyle w:val="a5"/>
      <w:jc w:val="right"/>
    </w:pPr>
  </w:p>
  <w:p w14:paraId="7A8424E7" w14:textId="77777777" w:rsidR="00FB2D9A" w:rsidRDefault="00FB2D9A">
    <w:pPr>
      <w:pStyle w:val="a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CD36E9"/>
    <w:multiLevelType w:val="hybridMultilevel"/>
    <w:tmpl w:val="31C23096"/>
    <w:lvl w:ilvl="0" w:tplc="3CAABC56">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28B1B88"/>
    <w:multiLevelType w:val="hybridMultilevel"/>
    <w:tmpl w:val="4E9078DA"/>
    <w:lvl w:ilvl="0" w:tplc="19D8B274">
      <w:start w:val="1"/>
      <w:numFmt w:val="decimal"/>
      <w:lvlText w:val="%10"/>
      <w:lvlJc w:val="left"/>
      <w:pPr>
        <w:ind w:left="1174" w:hanging="360"/>
      </w:pPr>
      <w:rPr>
        <w:rFonts w:hint="default"/>
        <w:sz w:val="36"/>
        <w:szCs w:val="36"/>
      </w:rPr>
    </w:lvl>
    <w:lvl w:ilvl="1" w:tplc="0409000F">
      <w:start w:val="1"/>
      <w:numFmt w:val="decimal"/>
      <w:lvlText w:val="%2."/>
      <w:lvlJc w:val="left"/>
      <w:pPr>
        <w:ind w:left="1440" w:hanging="360"/>
      </w:pPr>
      <w:rPr>
        <w:rFonts w:hint="cs"/>
        <w:bCs w:val="0"/>
        <w:iCs w:val="0"/>
        <w:sz w:val="36"/>
        <w:szCs w:val="36"/>
      </w:rPr>
    </w:lvl>
    <w:lvl w:ilvl="2" w:tplc="ABDA79C6">
      <w:start w:val="1"/>
      <w:numFmt w:val="decimal"/>
      <w:lvlText w:val="%3)"/>
      <w:lvlJc w:val="left"/>
      <w:pPr>
        <w:ind w:left="2700" w:hanging="72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2A82FF5"/>
    <w:multiLevelType w:val="hybridMultilevel"/>
    <w:tmpl w:val="90C44320"/>
    <w:lvl w:ilvl="0" w:tplc="88E4199A">
      <w:start w:val="1"/>
      <w:numFmt w:val="decimal"/>
      <w:lvlText w:val="%1-"/>
      <w:lvlJc w:val="left"/>
      <w:pPr>
        <w:ind w:left="720" w:hanging="360"/>
      </w:pPr>
      <w:rPr>
        <w:rFonts w:asciiTheme="minorBidi" w:eastAsiaTheme="minorHAnsi" w:hAnsiTheme="minorBidi" w:cs="Royal Arabic"/>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FD956B5"/>
    <w:multiLevelType w:val="hybridMultilevel"/>
    <w:tmpl w:val="2D22C496"/>
    <w:lvl w:ilvl="0" w:tplc="859675E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433D2C1D"/>
    <w:multiLevelType w:val="hybridMultilevel"/>
    <w:tmpl w:val="EC3A27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4C8D70FC"/>
    <w:multiLevelType w:val="hybridMultilevel"/>
    <w:tmpl w:val="93BC0E12"/>
    <w:lvl w:ilvl="0" w:tplc="45F8C838">
      <w:start w:val="1"/>
      <w:numFmt w:val="decimal"/>
      <w:lvlText w:val="%1."/>
      <w:lvlJc w:val="left"/>
      <w:pPr>
        <w:ind w:left="1080" w:hanging="720"/>
      </w:pPr>
      <w:rPr>
        <w:rFonts w:asciiTheme="minorHAnsi" w:eastAsiaTheme="minorHAnsi" w:hAnsiTheme="minorHAnsi" w:cs="Royal Arabic"/>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4EC76BB1"/>
    <w:multiLevelType w:val="hybridMultilevel"/>
    <w:tmpl w:val="7C263FAE"/>
    <w:lvl w:ilvl="0" w:tplc="6792ABD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2"/>
  </w:num>
  <w:num w:numId="2">
    <w:abstractNumId w:val="3"/>
  </w:num>
  <w:num w:numId="3">
    <w:abstractNumId w:val="0"/>
  </w:num>
  <w:num w:numId="4">
    <w:abstractNumId w:val="4"/>
  </w:num>
  <w:num w:numId="5">
    <w:abstractNumId w:val="5"/>
  </w:num>
  <w:num w:numId="6">
    <w:abstractNumId w:val="1"/>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8473B"/>
    <w:rsid w:val="00014AB1"/>
    <w:rsid w:val="0002045C"/>
    <w:rsid w:val="0005043D"/>
    <w:rsid w:val="0008156A"/>
    <w:rsid w:val="000C4AF6"/>
    <w:rsid w:val="000D7E19"/>
    <w:rsid w:val="000E2911"/>
    <w:rsid w:val="0010346F"/>
    <w:rsid w:val="00112E30"/>
    <w:rsid w:val="00126B05"/>
    <w:rsid w:val="00133D6A"/>
    <w:rsid w:val="00140BD9"/>
    <w:rsid w:val="0017256B"/>
    <w:rsid w:val="00185CA3"/>
    <w:rsid w:val="0019532D"/>
    <w:rsid w:val="001B4896"/>
    <w:rsid w:val="001B5DB6"/>
    <w:rsid w:val="001E0B03"/>
    <w:rsid w:val="001E44E0"/>
    <w:rsid w:val="001F7B99"/>
    <w:rsid w:val="002A3F41"/>
    <w:rsid w:val="002C66E8"/>
    <w:rsid w:val="002E0029"/>
    <w:rsid w:val="00303544"/>
    <w:rsid w:val="00307B08"/>
    <w:rsid w:val="0036088F"/>
    <w:rsid w:val="00382E55"/>
    <w:rsid w:val="003A4662"/>
    <w:rsid w:val="003D26FE"/>
    <w:rsid w:val="003E7805"/>
    <w:rsid w:val="004009B5"/>
    <w:rsid w:val="00415CC3"/>
    <w:rsid w:val="00424E8B"/>
    <w:rsid w:val="00434D6C"/>
    <w:rsid w:val="00473179"/>
    <w:rsid w:val="00496C9D"/>
    <w:rsid w:val="004C6568"/>
    <w:rsid w:val="004D6523"/>
    <w:rsid w:val="00506814"/>
    <w:rsid w:val="00506DC3"/>
    <w:rsid w:val="005401F8"/>
    <w:rsid w:val="0054320F"/>
    <w:rsid w:val="00544F8D"/>
    <w:rsid w:val="00551AFB"/>
    <w:rsid w:val="00557554"/>
    <w:rsid w:val="005630E4"/>
    <w:rsid w:val="005B017B"/>
    <w:rsid w:val="005B1BA4"/>
    <w:rsid w:val="005B2DF3"/>
    <w:rsid w:val="005C6E32"/>
    <w:rsid w:val="005D4AD5"/>
    <w:rsid w:val="005F2F23"/>
    <w:rsid w:val="00604B85"/>
    <w:rsid w:val="0062660A"/>
    <w:rsid w:val="0063721D"/>
    <w:rsid w:val="006512AB"/>
    <w:rsid w:val="006659FD"/>
    <w:rsid w:val="006B5B5C"/>
    <w:rsid w:val="006C1C8F"/>
    <w:rsid w:val="006C1E41"/>
    <w:rsid w:val="006C5770"/>
    <w:rsid w:val="006E5E9B"/>
    <w:rsid w:val="00724F00"/>
    <w:rsid w:val="007269C9"/>
    <w:rsid w:val="007275DC"/>
    <w:rsid w:val="007451CC"/>
    <w:rsid w:val="00763BE0"/>
    <w:rsid w:val="007A2FF6"/>
    <w:rsid w:val="007C253D"/>
    <w:rsid w:val="007C2C43"/>
    <w:rsid w:val="007D0A62"/>
    <w:rsid w:val="00832F46"/>
    <w:rsid w:val="008371FA"/>
    <w:rsid w:val="00851BE0"/>
    <w:rsid w:val="008600F6"/>
    <w:rsid w:val="00866C1A"/>
    <w:rsid w:val="00871CEF"/>
    <w:rsid w:val="0089348B"/>
    <w:rsid w:val="008B0FFD"/>
    <w:rsid w:val="008C75A6"/>
    <w:rsid w:val="008D436B"/>
    <w:rsid w:val="008D70F8"/>
    <w:rsid w:val="008F231B"/>
    <w:rsid w:val="00966CE1"/>
    <w:rsid w:val="0098255E"/>
    <w:rsid w:val="009D6F54"/>
    <w:rsid w:val="00A0176D"/>
    <w:rsid w:val="00A23984"/>
    <w:rsid w:val="00A308AA"/>
    <w:rsid w:val="00A56343"/>
    <w:rsid w:val="00A70C90"/>
    <w:rsid w:val="00A8473B"/>
    <w:rsid w:val="00AA6C00"/>
    <w:rsid w:val="00AD6F2D"/>
    <w:rsid w:val="00AD7BDE"/>
    <w:rsid w:val="00AE682A"/>
    <w:rsid w:val="00B73A1E"/>
    <w:rsid w:val="00BD4490"/>
    <w:rsid w:val="00BE7ACB"/>
    <w:rsid w:val="00BF5FD8"/>
    <w:rsid w:val="00BF7D27"/>
    <w:rsid w:val="00C0483D"/>
    <w:rsid w:val="00C159EC"/>
    <w:rsid w:val="00C33FC7"/>
    <w:rsid w:val="00C7606B"/>
    <w:rsid w:val="00C83E5F"/>
    <w:rsid w:val="00CB6613"/>
    <w:rsid w:val="00CE6D06"/>
    <w:rsid w:val="00CE7438"/>
    <w:rsid w:val="00CF5DDE"/>
    <w:rsid w:val="00D02659"/>
    <w:rsid w:val="00D25A9F"/>
    <w:rsid w:val="00D85A10"/>
    <w:rsid w:val="00D86662"/>
    <w:rsid w:val="00DA601A"/>
    <w:rsid w:val="00DE4507"/>
    <w:rsid w:val="00DF594D"/>
    <w:rsid w:val="00E347A9"/>
    <w:rsid w:val="00E56867"/>
    <w:rsid w:val="00E645E4"/>
    <w:rsid w:val="00EC5B6F"/>
    <w:rsid w:val="00EC789F"/>
    <w:rsid w:val="00F174A5"/>
    <w:rsid w:val="00F70FD9"/>
    <w:rsid w:val="00F77420"/>
    <w:rsid w:val="00FB22D5"/>
    <w:rsid w:val="00FB2AE5"/>
    <w:rsid w:val="00FB2D9A"/>
    <w:rsid w:val="00FB4BB0"/>
    <w:rsid w:val="00FC2485"/>
    <w:rsid w:val="00FD111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EBAD80F"/>
  <w15:docId w15:val="{61A39568-E775-4086-80ED-107A210E0C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bidi/>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415CC3"/>
    <w:pPr>
      <w:ind w:left="720"/>
      <w:contextualSpacing/>
    </w:pPr>
  </w:style>
  <w:style w:type="paragraph" w:styleId="a4">
    <w:name w:val="Balloon Text"/>
    <w:basedOn w:val="a"/>
    <w:link w:val="Char"/>
    <w:uiPriority w:val="99"/>
    <w:semiHidden/>
    <w:unhideWhenUsed/>
    <w:rsid w:val="00496C9D"/>
    <w:pPr>
      <w:spacing w:after="0" w:line="240" w:lineRule="auto"/>
    </w:pPr>
    <w:rPr>
      <w:rFonts w:ascii="Tahoma" w:hAnsi="Tahoma" w:cs="Tahoma"/>
      <w:sz w:val="16"/>
      <w:szCs w:val="16"/>
    </w:rPr>
  </w:style>
  <w:style w:type="character" w:customStyle="1" w:styleId="Char">
    <w:name w:val="نص في بالون Char"/>
    <w:basedOn w:val="a0"/>
    <w:link w:val="a4"/>
    <w:uiPriority w:val="99"/>
    <w:semiHidden/>
    <w:rsid w:val="00496C9D"/>
    <w:rPr>
      <w:rFonts w:ascii="Tahoma" w:hAnsi="Tahoma" w:cs="Tahoma"/>
      <w:sz w:val="16"/>
      <w:szCs w:val="16"/>
    </w:rPr>
  </w:style>
  <w:style w:type="paragraph" w:styleId="a5">
    <w:name w:val="header"/>
    <w:basedOn w:val="a"/>
    <w:link w:val="Char0"/>
    <w:uiPriority w:val="99"/>
    <w:unhideWhenUsed/>
    <w:rsid w:val="00BF5FD8"/>
    <w:pPr>
      <w:tabs>
        <w:tab w:val="center" w:pos="4153"/>
        <w:tab w:val="right" w:pos="8306"/>
      </w:tabs>
      <w:spacing w:after="0" w:line="240" w:lineRule="auto"/>
    </w:pPr>
  </w:style>
  <w:style w:type="character" w:customStyle="1" w:styleId="Char0">
    <w:name w:val="رأس الصفحة Char"/>
    <w:basedOn w:val="a0"/>
    <w:link w:val="a5"/>
    <w:uiPriority w:val="99"/>
    <w:rsid w:val="00BF5FD8"/>
  </w:style>
  <w:style w:type="paragraph" w:styleId="a6">
    <w:name w:val="footer"/>
    <w:basedOn w:val="a"/>
    <w:link w:val="Char1"/>
    <w:uiPriority w:val="99"/>
    <w:unhideWhenUsed/>
    <w:rsid w:val="00BF5FD8"/>
    <w:pPr>
      <w:tabs>
        <w:tab w:val="center" w:pos="4153"/>
        <w:tab w:val="right" w:pos="8306"/>
      </w:tabs>
      <w:spacing w:after="0" w:line="240" w:lineRule="auto"/>
    </w:pPr>
  </w:style>
  <w:style w:type="character" w:customStyle="1" w:styleId="Char1">
    <w:name w:val="تذييل الصفحة Char"/>
    <w:basedOn w:val="a0"/>
    <w:link w:val="a6"/>
    <w:uiPriority w:val="99"/>
    <w:rsid w:val="00BF5FD8"/>
  </w:style>
  <w:style w:type="paragraph" w:styleId="a7">
    <w:name w:val="Normal (Web)"/>
    <w:basedOn w:val="a"/>
    <w:uiPriority w:val="99"/>
    <w:semiHidden/>
    <w:unhideWhenUsed/>
    <w:rsid w:val="00E645E4"/>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09501925">
      <w:bodyDiv w:val="1"/>
      <w:marLeft w:val="0"/>
      <w:marRight w:val="0"/>
      <w:marTop w:val="0"/>
      <w:marBottom w:val="0"/>
      <w:divBdr>
        <w:top w:val="none" w:sz="0" w:space="0" w:color="auto"/>
        <w:left w:val="none" w:sz="0" w:space="0" w:color="auto"/>
        <w:bottom w:val="none" w:sz="0" w:space="0" w:color="auto"/>
        <w:right w:val="none" w:sz="0" w:space="0" w:color="auto"/>
      </w:divBdr>
      <w:divsChild>
        <w:div w:id="22825560">
          <w:marLeft w:val="0"/>
          <w:marRight w:val="0"/>
          <w:marTop w:val="0"/>
          <w:marBottom w:val="0"/>
          <w:divBdr>
            <w:top w:val="none" w:sz="0" w:space="0" w:color="auto"/>
            <w:left w:val="none" w:sz="0" w:space="0" w:color="auto"/>
            <w:bottom w:val="none" w:sz="0" w:space="0" w:color="auto"/>
            <w:right w:val="none" w:sz="0" w:space="0" w:color="auto"/>
          </w:divBdr>
          <w:divsChild>
            <w:div w:id="2085715853">
              <w:marLeft w:val="0"/>
              <w:marRight w:val="0"/>
              <w:marTop w:val="0"/>
              <w:marBottom w:val="0"/>
              <w:divBdr>
                <w:top w:val="none" w:sz="0" w:space="0" w:color="auto"/>
                <w:left w:val="none" w:sz="0" w:space="0" w:color="auto"/>
                <w:bottom w:val="none" w:sz="0" w:space="0" w:color="auto"/>
                <w:right w:val="none" w:sz="0" w:space="0" w:color="auto"/>
              </w:divBdr>
              <w:divsChild>
                <w:div w:id="1665813072">
                  <w:marLeft w:val="0"/>
                  <w:marRight w:val="0"/>
                  <w:marTop w:val="0"/>
                  <w:marBottom w:val="0"/>
                  <w:divBdr>
                    <w:top w:val="none" w:sz="0" w:space="0" w:color="auto"/>
                    <w:left w:val="none" w:sz="0" w:space="0" w:color="auto"/>
                    <w:bottom w:val="none" w:sz="0" w:space="0" w:color="auto"/>
                    <w:right w:val="none" w:sz="0" w:space="0" w:color="auto"/>
                  </w:divBdr>
                  <w:divsChild>
                    <w:div w:id="1757705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9746203">
      <w:bodyDiv w:val="1"/>
      <w:marLeft w:val="0"/>
      <w:marRight w:val="0"/>
      <w:marTop w:val="0"/>
      <w:marBottom w:val="0"/>
      <w:divBdr>
        <w:top w:val="none" w:sz="0" w:space="0" w:color="auto"/>
        <w:left w:val="none" w:sz="0" w:space="0" w:color="auto"/>
        <w:bottom w:val="none" w:sz="0" w:space="0" w:color="auto"/>
        <w:right w:val="none" w:sz="0" w:space="0" w:color="auto"/>
      </w:divBdr>
    </w:div>
    <w:div w:id="1379476248">
      <w:bodyDiv w:val="1"/>
      <w:marLeft w:val="0"/>
      <w:marRight w:val="0"/>
      <w:marTop w:val="0"/>
      <w:marBottom w:val="0"/>
      <w:divBdr>
        <w:top w:val="none" w:sz="0" w:space="0" w:color="auto"/>
        <w:left w:val="none" w:sz="0" w:space="0" w:color="auto"/>
        <w:bottom w:val="none" w:sz="0" w:space="0" w:color="auto"/>
        <w:right w:val="none" w:sz="0" w:space="0" w:color="auto"/>
      </w:divBdr>
      <w:divsChild>
        <w:div w:id="523909813">
          <w:marLeft w:val="0"/>
          <w:marRight w:val="0"/>
          <w:marTop w:val="0"/>
          <w:marBottom w:val="0"/>
          <w:divBdr>
            <w:top w:val="none" w:sz="0" w:space="0" w:color="auto"/>
            <w:left w:val="none" w:sz="0" w:space="0" w:color="auto"/>
            <w:bottom w:val="none" w:sz="0" w:space="0" w:color="auto"/>
            <w:right w:val="none" w:sz="0" w:space="0" w:color="auto"/>
          </w:divBdr>
          <w:divsChild>
            <w:div w:id="140008202">
              <w:marLeft w:val="0"/>
              <w:marRight w:val="0"/>
              <w:marTop w:val="0"/>
              <w:marBottom w:val="0"/>
              <w:divBdr>
                <w:top w:val="none" w:sz="0" w:space="0" w:color="auto"/>
                <w:left w:val="none" w:sz="0" w:space="0" w:color="auto"/>
                <w:bottom w:val="none" w:sz="0" w:space="0" w:color="auto"/>
                <w:right w:val="none" w:sz="0" w:space="0" w:color="auto"/>
              </w:divBdr>
              <w:divsChild>
                <w:div w:id="318005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2120793">
      <w:bodyDiv w:val="1"/>
      <w:marLeft w:val="0"/>
      <w:marRight w:val="0"/>
      <w:marTop w:val="0"/>
      <w:marBottom w:val="0"/>
      <w:divBdr>
        <w:top w:val="none" w:sz="0" w:space="0" w:color="auto"/>
        <w:left w:val="none" w:sz="0" w:space="0" w:color="auto"/>
        <w:bottom w:val="none" w:sz="0" w:space="0" w:color="auto"/>
        <w:right w:val="none" w:sz="0" w:space="0" w:color="auto"/>
      </w:divBdr>
      <w:divsChild>
        <w:div w:id="258149239">
          <w:marLeft w:val="0"/>
          <w:marRight w:val="0"/>
          <w:marTop w:val="0"/>
          <w:marBottom w:val="0"/>
          <w:divBdr>
            <w:top w:val="none" w:sz="0" w:space="0" w:color="auto"/>
            <w:left w:val="none" w:sz="0" w:space="0" w:color="auto"/>
            <w:bottom w:val="none" w:sz="0" w:space="0" w:color="auto"/>
            <w:right w:val="none" w:sz="0" w:space="0" w:color="auto"/>
          </w:divBdr>
          <w:divsChild>
            <w:div w:id="750547619">
              <w:marLeft w:val="0"/>
              <w:marRight w:val="0"/>
              <w:marTop w:val="0"/>
              <w:marBottom w:val="0"/>
              <w:divBdr>
                <w:top w:val="none" w:sz="0" w:space="0" w:color="auto"/>
                <w:left w:val="none" w:sz="0" w:space="0" w:color="auto"/>
                <w:bottom w:val="none" w:sz="0" w:space="0" w:color="auto"/>
                <w:right w:val="none" w:sz="0" w:space="0" w:color="auto"/>
              </w:divBdr>
              <w:divsChild>
                <w:div w:id="1421752265">
                  <w:marLeft w:val="0"/>
                  <w:marRight w:val="0"/>
                  <w:marTop w:val="0"/>
                  <w:marBottom w:val="0"/>
                  <w:divBdr>
                    <w:top w:val="none" w:sz="0" w:space="0" w:color="auto"/>
                    <w:left w:val="none" w:sz="0" w:space="0" w:color="auto"/>
                    <w:bottom w:val="none" w:sz="0" w:space="0" w:color="auto"/>
                    <w:right w:val="none" w:sz="0" w:space="0" w:color="auto"/>
                  </w:divBdr>
                  <w:divsChild>
                    <w:div w:id="587806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1933969">
      <w:bodyDiv w:val="1"/>
      <w:marLeft w:val="0"/>
      <w:marRight w:val="0"/>
      <w:marTop w:val="0"/>
      <w:marBottom w:val="0"/>
      <w:divBdr>
        <w:top w:val="none" w:sz="0" w:space="0" w:color="auto"/>
        <w:left w:val="none" w:sz="0" w:space="0" w:color="auto"/>
        <w:bottom w:val="none" w:sz="0" w:space="0" w:color="auto"/>
        <w:right w:val="none" w:sz="0" w:space="0" w:color="auto"/>
      </w:divBdr>
      <w:divsChild>
        <w:div w:id="1378235545">
          <w:marLeft w:val="0"/>
          <w:marRight w:val="0"/>
          <w:marTop w:val="0"/>
          <w:marBottom w:val="0"/>
          <w:divBdr>
            <w:top w:val="none" w:sz="0" w:space="0" w:color="auto"/>
            <w:left w:val="none" w:sz="0" w:space="0" w:color="auto"/>
            <w:bottom w:val="none" w:sz="0" w:space="0" w:color="auto"/>
            <w:right w:val="none" w:sz="0" w:space="0" w:color="auto"/>
          </w:divBdr>
          <w:divsChild>
            <w:div w:id="1960261601">
              <w:marLeft w:val="0"/>
              <w:marRight w:val="0"/>
              <w:marTop w:val="0"/>
              <w:marBottom w:val="0"/>
              <w:divBdr>
                <w:top w:val="none" w:sz="0" w:space="0" w:color="auto"/>
                <w:left w:val="none" w:sz="0" w:space="0" w:color="auto"/>
                <w:bottom w:val="none" w:sz="0" w:space="0" w:color="auto"/>
                <w:right w:val="none" w:sz="0" w:space="0" w:color="auto"/>
              </w:divBdr>
              <w:divsChild>
                <w:div w:id="1901550575">
                  <w:marLeft w:val="0"/>
                  <w:marRight w:val="0"/>
                  <w:marTop w:val="0"/>
                  <w:marBottom w:val="0"/>
                  <w:divBdr>
                    <w:top w:val="none" w:sz="0" w:space="0" w:color="auto"/>
                    <w:left w:val="none" w:sz="0" w:space="0" w:color="auto"/>
                    <w:bottom w:val="none" w:sz="0" w:space="0" w:color="auto"/>
                    <w:right w:val="none" w:sz="0" w:space="0" w:color="auto"/>
                  </w:divBdr>
                  <w:divsChild>
                    <w:div w:id="698314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3177337">
      <w:bodyDiv w:val="1"/>
      <w:marLeft w:val="0"/>
      <w:marRight w:val="0"/>
      <w:marTop w:val="0"/>
      <w:marBottom w:val="0"/>
      <w:divBdr>
        <w:top w:val="none" w:sz="0" w:space="0" w:color="auto"/>
        <w:left w:val="none" w:sz="0" w:space="0" w:color="auto"/>
        <w:bottom w:val="none" w:sz="0" w:space="0" w:color="auto"/>
        <w:right w:val="none" w:sz="0" w:space="0" w:color="auto"/>
      </w:divBdr>
      <w:divsChild>
        <w:div w:id="615599542">
          <w:marLeft w:val="0"/>
          <w:marRight w:val="0"/>
          <w:marTop w:val="0"/>
          <w:marBottom w:val="0"/>
          <w:divBdr>
            <w:top w:val="none" w:sz="0" w:space="0" w:color="auto"/>
            <w:left w:val="none" w:sz="0" w:space="0" w:color="auto"/>
            <w:bottom w:val="none" w:sz="0" w:space="0" w:color="auto"/>
            <w:right w:val="none" w:sz="0" w:space="0" w:color="auto"/>
          </w:divBdr>
          <w:divsChild>
            <w:div w:id="85082861">
              <w:marLeft w:val="0"/>
              <w:marRight w:val="0"/>
              <w:marTop w:val="0"/>
              <w:marBottom w:val="0"/>
              <w:divBdr>
                <w:top w:val="none" w:sz="0" w:space="0" w:color="auto"/>
                <w:left w:val="none" w:sz="0" w:space="0" w:color="auto"/>
                <w:bottom w:val="none" w:sz="0" w:space="0" w:color="auto"/>
                <w:right w:val="none" w:sz="0" w:space="0" w:color="auto"/>
              </w:divBdr>
              <w:divsChild>
                <w:div w:id="651569178">
                  <w:marLeft w:val="0"/>
                  <w:marRight w:val="0"/>
                  <w:marTop w:val="0"/>
                  <w:marBottom w:val="0"/>
                  <w:divBdr>
                    <w:top w:val="none" w:sz="0" w:space="0" w:color="auto"/>
                    <w:left w:val="none" w:sz="0" w:space="0" w:color="auto"/>
                    <w:bottom w:val="none" w:sz="0" w:space="0" w:color="auto"/>
                    <w:right w:val="none" w:sz="0" w:space="0" w:color="auto"/>
                  </w:divBdr>
                  <w:divsChild>
                    <w:div w:id="1077434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3019693">
      <w:bodyDiv w:val="1"/>
      <w:marLeft w:val="0"/>
      <w:marRight w:val="0"/>
      <w:marTop w:val="0"/>
      <w:marBottom w:val="0"/>
      <w:divBdr>
        <w:top w:val="none" w:sz="0" w:space="0" w:color="auto"/>
        <w:left w:val="none" w:sz="0" w:space="0" w:color="auto"/>
        <w:bottom w:val="none" w:sz="0" w:space="0" w:color="auto"/>
        <w:right w:val="none" w:sz="0" w:space="0" w:color="auto"/>
      </w:divBdr>
      <w:divsChild>
        <w:div w:id="229970495">
          <w:marLeft w:val="0"/>
          <w:marRight w:val="0"/>
          <w:marTop w:val="0"/>
          <w:marBottom w:val="0"/>
          <w:divBdr>
            <w:top w:val="none" w:sz="0" w:space="0" w:color="auto"/>
            <w:left w:val="none" w:sz="0" w:space="0" w:color="auto"/>
            <w:bottom w:val="none" w:sz="0" w:space="0" w:color="auto"/>
            <w:right w:val="none" w:sz="0" w:space="0" w:color="auto"/>
          </w:divBdr>
          <w:divsChild>
            <w:div w:id="1245638">
              <w:marLeft w:val="0"/>
              <w:marRight w:val="0"/>
              <w:marTop w:val="0"/>
              <w:marBottom w:val="0"/>
              <w:divBdr>
                <w:top w:val="none" w:sz="0" w:space="0" w:color="auto"/>
                <w:left w:val="none" w:sz="0" w:space="0" w:color="auto"/>
                <w:bottom w:val="none" w:sz="0" w:space="0" w:color="auto"/>
                <w:right w:val="none" w:sz="0" w:space="0" w:color="auto"/>
              </w:divBdr>
              <w:divsChild>
                <w:div w:id="1143616923">
                  <w:marLeft w:val="0"/>
                  <w:marRight w:val="0"/>
                  <w:marTop w:val="0"/>
                  <w:marBottom w:val="0"/>
                  <w:divBdr>
                    <w:top w:val="none" w:sz="0" w:space="0" w:color="auto"/>
                    <w:left w:val="none" w:sz="0" w:space="0" w:color="auto"/>
                    <w:bottom w:val="none" w:sz="0" w:space="0" w:color="auto"/>
                    <w:right w:val="none" w:sz="0" w:space="0" w:color="auto"/>
                  </w:divBdr>
                  <w:divsChild>
                    <w:div w:id="1963879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AF5C9C58-DAD1-443B-82E6-9D2CBB16E2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Pages>
  <Words>662</Words>
  <Characters>3774</Characters>
  <Application>Microsoft Office Word</Application>
  <DocSecurity>0</DocSecurity>
  <Lines>31</Lines>
  <Paragraphs>8</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4428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محمد بن يوسف محمد اليوسف</dc:creator>
  <cp:lastModifiedBy>عزام بن عبدالعزيز محمد مبارك</cp:lastModifiedBy>
  <cp:revision>5</cp:revision>
  <cp:lastPrinted>2024-08-29T11:41:00Z</cp:lastPrinted>
  <dcterms:created xsi:type="dcterms:W3CDTF">2025-01-15T07:40:00Z</dcterms:created>
  <dcterms:modified xsi:type="dcterms:W3CDTF">2025-03-18T10:43:00Z</dcterms:modified>
</cp:coreProperties>
</file>