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3D0F3" w14:textId="1A5BE42B" w:rsidR="00ED6484" w:rsidRPr="00107211" w:rsidRDefault="00107211" w:rsidP="00107211">
      <w:pPr>
        <w:jc w:val="center"/>
        <w:rPr>
          <w:rFonts w:cs="Royal Arabic"/>
          <w:b/>
          <w:bCs/>
          <w:sz w:val="32"/>
          <w:szCs w:val="32"/>
          <w:rtl/>
        </w:rPr>
      </w:pPr>
      <w:r w:rsidRPr="00107211">
        <w:rPr>
          <w:rFonts w:cs="Royal Arabic" w:hint="cs"/>
          <w:b/>
          <w:bCs/>
          <w:sz w:val="32"/>
          <w:szCs w:val="32"/>
          <w:rtl/>
        </w:rPr>
        <w:t>بسم الله الرحمن الرحيم</w:t>
      </w:r>
    </w:p>
    <w:p w14:paraId="711F01AB" w14:textId="720CA233" w:rsidR="00107211" w:rsidRPr="00107211" w:rsidRDefault="00107211" w:rsidP="00107211">
      <w:pPr>
        <w:jc w:val="center"/>
        <w:rPr>
          <w:rFonts w:cs="Royal Arabic"/>
          <w:b/>
          <w:bCs/>
          <w:sz w:val="32"/>
          <w:szCs w:val="32"/>
          <w:rtl/>
        </w:rPr>
      </w:pPr>
      <w:r w:rsidRPr="00107211">
        <w:rPr>
          <w:rFonts w:cs="Royal Arabic" w:hint="cs"/>
          <w:b/>
          <w:bCs/>
          <w:sz w:val="32"/>
          <w:szCs w:val="32"/>
          <w:rtl/>
        </w:rPr>
        <w:t>مذكرة جوابية</w:t>
      </w:r>
    </w:p>
    <w:p w14:paraId="3DD95106" w14:textId="74788A41" w:rsidR="00107211" w:rsidRPr="00107211" w:rsidRDefault="00107211" w:rsidP="00107211">
      <w:pPr>
        <w:jc w:val="center"/>
        <w:rPr>
          <w:rFonts w:cs="Royal Arabic"/>
          <w:b/>
          <w:bCs/>
          <w:sz w:val="32"/>
          <w:szCs w:val="32"/>
          <w:rtl/>
        </w:rPr>
      </w:pPr>
      <w:r w:rsidRPr="00107211">
        <w:rPr>
          <w:rFonts w:cs="Royal Arabic" w:hint="cs"/>
          <w:b/>
          <w:bCs/>
          <w:sz w:val="32"/>
          <w:szCs w:val="32"/>
          <w:rtl/>
        </w:rPr>
        <w:t>في الدعوى رقم (72802) لعام 1447هـ، المقامة من/ خالد بن عبدالرحمن السبيعي</w:t>
      </w:r>
    </w:p>
    <w:p w14:paraId="3822F0C3" w14:textId="15A0B5AF" w:rsidR="00107211" w:rsidRPr="00107211" w:rsidRDefault="00107211" w:rsidP="00107211">
      <w:pPr>
        <w:jc w:val="center"/>
        <w:rPr>
          <w:rFonts w:cs="Royal Arabic"/>
          <w:b/>
          <w:bCs/>
          <w:sz w:val="32"/>
          <w:szCs w:val="32"/>
          <w:rtl/>
        </w:rPr>
      </w:pPr>
      <w:r w:rsidRPr="00107211">
        <w:rPr>
          <w:rFonts w:cs="Royal Arabic" w:hint="cs"/>
          <w:b/>
          <w:bCs/>
          <w:sz w:val="32"/>
          <w:szCs w:val="32"/>
          <w:rtl/>
        </w:rPr>
        <w:t>ضد/ ديوان المظالم</w:t>
      </w:r>
    </w:p>
    <w:p w14:paraId="6E26D840" w14:textId="24C2753B" w:rsidR="00107211" w:rsidRDefault="00107211" w:rsidP="005F73DD">
      <w:pPr>
        <w:jc w:val="both"/>
        <w:rPr>
          <w:rFonts w:cs="Royal Arabic"/>
          <w:sz w:val="32"/>
          <w:szCs w:val="32"/>
          <w:rtl/>
        </w:rPr>
      </w:pPr>
      <w:r>
        <w:rPr>
          <w:rFonts w:cs="Royal Arabic" w:hint="cs"/>
          <w:sz w:val="32"/>
          <w:szCs w:val="32"/>
          <w:rtl/>
        </w:rPr>
        <w:t xml:space="preserve">أولاً: </w:t>
      </w:r>
      <w:r w:rsidR="00960281">
        <w:rPr>
          <w:rFonts w:cs="Royal Arabic" w:hint="cs"/>
          <w:sz w:val="32"/>
          <w:szCs w:val="32"/>
          <w:rtl/>
        </w:rPr>
        <w:t xml:space="preserve">أن </w:t>
      </w:r>
      <w:r w:rsidR="00240DC3">
        <w:rPr>
          <w:rFonts w:cs="Royal Arabic" w:hint="cs"/>
          <w:sz w:val="32"/>
          <w:szCs w:val="32"/>
          <w:rtl/>
        </w:rPr>
        <w:t>جميع</w:t>
      </w:r>
      <w:r w:rsidRPr="00107211">
        <w:rPr>
          <w:rFonts w:cs="Royal Arabic"/>
          <w:sz w:val="32"/>
          <w:szCs w:val="32"/>
          <w:rtl/>
        </w:rPr>
        <w:t xml:space="preserve"> </w:t>
      </w:r>
      <w:r w:rsidR="00AC6C63">
        <w:rPr>
          <w:rFonts w:cs="Royal Arabic" w:hint="cs"/>
          <w:sz w:val="32"/>
          <w:szCs w:val="32"/>
          <w:rtl/>
        </w:rPr>
        <w:t>ما يطلبه</w:t>
      </w:r>
      <w:r w:rsidRPr="00107211">
        <w:rPr>
          <w:rFonts w:cs="Royal Arabic"/>
          <w:sz w:val="32"/>
          <w:szCs w:val="32"/>
          <w:rtl/>
        </w:rPr>
        <w:t xml:space="preserve"> المدعي مرتبط بأعمال قضائية لا إدارية، و</w:t>
      </w:r>
      <w:r w:rsidR="00240DC3">
        <w:rPr>
          <w:rFonts w:cs="Royal Arabic" w:hint="cs"/>
          <w:sz w:val="32"/>
          <w:szCs w:val="32"/>
          <w:rtl/>
        </w:rPr>
        <w:t xml:space="preserve">ذلك </w:t>
      </w:r>
      <w:r w:rsidRPr="00107211">
        <w:rPr>
          <w:rFonts w:cs="Royal Arabic"/>
          <w:sz w:val="32"/>
          <w:szCs w:val="32"/>
          <w:rtl/>
        </w:rPr>
        <w:t xml:space="preserve">أن النظر في طلبات قيد صحائف الدعاوى، والبت بشأنها منظم وفقا لنظام المرافعات أمام ديوان المظالم ولائحته التنفيذية، وتفصيل ذلك هو في أن الديوان إنما يختص كهيئة قضاء إداري بالنظر في أعمال جهات الإدارة لا في أعمال السلطة القضائية، وذلك وفقا للمادة (13) من نظام الديوان التي تنص على: (تختص المحاكم الإدارية بالفصل في الآتي: أـ الدعاوى المتعلقة بالحقوق المقررة في نظم الخدمة المدنية والعسكرية والتقاعد لموظفي ومستخدمي الحكومة والأجهزة ذوات الشخصية المعنوية العامة المستقلة أو ورثتهم والمستحقين عنهم، بـ دعاوى إلغاء القرارات الإدارية النهائية التي يقدمها ذوو الشأن، متى كان مرجع الطعن عدم الاختصاص، أو وجود عيب في الشكل، أو عيب في السبب، أو مخالفة النظم واللوائح، أو الخطأ في تطبيقها أو تأويلها، أو إساءة استعمال السلطة، بما في ذلك القرارات التأديبية، والقرارات التي تصدرها اللجان شبه القضائية والمجالس التأديبية، وكذلك القرارات التي تصدرها جمعيات النفع العام </w:t>
      </w:r>
      <w:r w:rsidR="00255A2E">
        <w:rPr>
          <w:rFonts w:cs="Royal Arabic" w:hint="cs"/>
          <w:sz w:val="32"/>
          <w:szCs w:val="32"/>
          <w:rtl/>
        </w:rPr>
        <w:t>-</w:t>
      </w:r>
      <w:r w:rsidRPr="00107211">
        <w:rPr>
          <w:rFonts w:cs="Royal Arabic"/>
          <w:sz w:val="32"/>
          <w:szCs w:val="32"/>
          <w:rtl/>
        </w:rPr>
        <w:t>وما في حكمها</w:t>
      </w:r>
      <w:r w:rsidR="00255A2E">
        <w:rPr>
          <w:rFonts w:cs="Royal Arabic" w:hint="cs"/>
          <w:sz w:val="32"/>
          <w:szCs w:val="32"/>
          <w:rtl/>
        </w:rPr>
        <w:t>-</w:t>
      </w:r>
      <w:r w:rsidRPr="00107211">
        <w:rPr>
          <w:rFonts w:cs="Royal Arabic"/>
          <w:sz w:val="32"/>
          <w:szCs w:val="32"/>
          <w:rtl/>
        </w:rPr>
        <w:t xml:space="preserve"> المتصلة بنشاطاتها، ويعد في حكم القرار الإداري رفض جهة الإدارة أو امتناعها عن اتخاذ قرار كان من الواجب عليها اتخاذه طبقا للأنظمة واللوائح،  ج</w:t>
      </w:r>
      <w:r w:rsidR="00255A2E">
        <w:rPr>
          <w:rFonts w:cs="Royal Arabic" w:hint="cs"/>
          <w:sz w:val="32"/>
          <w:szCs w:val="32"/>
          <w:rtl/>
        </w:rPr>
        <w:t>-</w:t>
      </w:r>
      <w:r w:rsidRPr="00107211">
        <w:rPr>
          <w:rFonts w:cs="Royal Arabic"/>
          <w:sz w:val="32"/>
          <w:szCs w:val="32"/>
          <w:rtl/>
        </w:rPr>
        <w:t xml:space="preserve"> دعاوى التعويض التي يقدمها ذوو الشأن عن قرارات أو أعمال جهة الإدارة، د</w:t>
      </w:r>
      <w:r w:rsidR="00255A2E">
        <w:rPr>
          <w:rFonts w:cs="Royal Arabic" w:hint="cs"/>
          <w:sz w:val="32"/>
          <w:szCs w:val="32"/>
          <w:rtl/>
        </w:rPr>
        <w:t>-</w:t>
      </w:r>
      <w:r w:rsidRPr="00107211">
        <w:rPr>
          <w:rFonts w:cs="Royal Arabic"/>
          <w:sz w:val="32"/>
          <w:szCs w:val="32"/>
          <w:rtl/>
        </w:rPr>
        <w:t xml:space="preserve"> الدعاوى المتعلقة بالعقود التي تكون جهة الإدارة طرفا فيها، هـ</w:t>
      </w:r>
      <w:r w:rsidR="00255A2E">
        <w:rPr>
          <w:rFonts w:cs="Royal Arabic" w:hint="cs"/>
          <w:sz w:val="32"/>
          <w:szCs w:val="32"/>
          <w:rtl/>
        </w:rPr>
        <w:t>-</w:t>
      </w:r>
      <w:r w:rsidRPr="00107211">
        <w:rPr>
          <w:rFonts w:cs="Royal Arabic"/>
          <w:sz w:val="32"/>
          <w:szCs w:val="32"/>
          <w:rtl/>
        </w:rPr>
        <w:t xml:space="preserve"> الدعاوى التأديبية التي ترفعها الجهة المختصة، و</w:t>
      </w:r>
      <w:r w:rsidR="00255A2E">
        <w:rPr>
          <w:rFonts w:cs="Royal Arabic" w:hint="cs"/>
          <w:sz w:val="32"/>
          <w:szCs w:val="32"/>
          <w:rtl/>
        </w:rPr>
        <w:t>-</w:t>
      </w:r>
      <w:r w:rsidRPr="00107211">
        <w:rPr>
          <w:rFonts w:cs="Royal Arabic"/>
          <w:sz w:val="32"/>
          <w:szCs w:val="32"/>
          <w:rtl/>
        </w:rPr>
        <w:t xml:space="preserve"> المنازعات الإدارية الأخرى)، وأن المختص بالنظر في التظلم من عدم قيد الصحيفة هو رئيس المحكمة المرفوع إليها طلب قيد صحيفة الدعوى، وذلك وفقا للمادة (6/1) من اللائحة التنفيذية لنظام المرافعات أمام ديوان المظالم التي تنص على: (يفصل رئيس المحكمة في التظلم من عدم قيد الصحيفة)، وعليه فإن الديوان كهيئة قضاء إداري لا يختص بالنظر في أعمال السلطة القضائية، بل في أعمال جهات الإدارة، والطلب </w:t>
      </w:r>
      <w:r w:rsidR="00255A2E">
        <w:rPr>
          <w:rFonts w:cs="Royal Arabic" w:hint="cs"/>
          <w:sz w:val="32"/>
          <w:szCs w:val="32"/>
          <w:rtl/>
        </w:rPr>
        <w:t>-</w:t>
      </w:r>
      <w:r w:rsidRPr="00107211">
        <w:rPr>
          <w:rFonts w:cs="Royal Arabic"/>
          <w:sz w:val="32"/>
          <w:szCs w:val="32"/>
          <w:rtl/>
        </w:rPr>
        <w:t>محل الدعوى</w:t>
      </w:r>
      <w:r w:rsidR="00255A2E">
        <w:rPr>
          <w:rFonts w:cs="Royal Arabic" w:hint="cs"/>
          <w:sz w:val="32"/>
          <w:szCs w:val="32"/>
          <w:rtl/>
        </w:rPr>
        <w:t>-</w:t>
      </w:r>
      <w:r w:rsidRPr="00107211">
        <w:rPr>
          <w:rFonts w:cs="Royal Arabic"/>
          <w:sz w:val="32"/>
          <w:szCs w:val="32"/>
          <w:rtl/>
        </w:rPr>
        <w:t xml:space="preserve"> مرتبط بأعمال السلطة القضائية، كما أنه قد سبق صدور حكم المحكمة الإدارية بالرياض في الدعوى </w:t>
      </w:r>
      <w:r w:rsidR="00A91C2A">
        <w:rPr>
          <w:rFonts w:cs="Royal Arabic" w:hint="cs"/>
          <w:sz w:val="32"/>
          <w:szCs w:val="32"/>
          <w:rtl/>
        </w:rPr>
        <w:t xml:space="preserve">رقم </w:t>
      </w:r>
      <w:r w:rsidRPr="00107211">
        <w:rPr>
          <w:rFonts w:cs="Royal Arabic"/>
          <w:sz w:val="32"/>
          <w:szCs w:val="32"/>
          <w:rtl/>
        </w:rPr>
        <w:t>(11579) لعام 1443هـ المؤيد بحكم محكمة الاستئناف الإدارية بمنطقة الرياض رقم (8922) لعام 1443ه</w:t>
      </w:r>
      <w:r w:rsidR="00255A2E">
        <w:rPr>
          <w:rFonts w:cs="Royal Arabic" w:hint="cs"/>
          <w:sz w:val="32"/>
          <w:szCs w:val="32"/>
          <w:rtl/>
        </w:rPr>
        <w:t>ـ</w:t>
      </w:r>
      <w:r w:rsidRPr="00107211">
        <w:rPr>
          <w:rFonts w:cs="Royal Arabic"/>
          <w:sz w:val="32"/>
          <w:szCs w:val="32"/>
          <w:rtl/>
        </w:rPr>
        <w:t>، بعدم اختصاص محاكم ديوان المظالم ولائيا بنظر مثل هذه الدعاوى</w:t>
      </w:r>
      <w:r w:rsidR="00B7428D">
        <w:rPr>
          <w:rFonts w:cs="Royal Arabic" w:hint="cs"/>
          <w:sz w:val="32"/>
          <w:szCs w:val="32"/>
          <w:rtl/>
        </w:rPr>
        <w:t xml:space="preserve">، وكذلك حكم المحكمة الإدارية بالرياض في الدعوى </w:t>
      </w:r>
      <w:r w:rsidR="00A91C2A">
        <w:rPr>
          <w:rFonts w:cs="Royal Arabic" w:hint="cs"/>
          <w:sz w:val="32"/>
          <w:szCs w:val="32"/>
          <w:rtl/>
        </w:rPr>
        <w:lastRenderedPageBreak/>
        <w:t xml:space="preserve">رقم </w:t>
      </w:r>
      <w:r w:rsidR="00B7428D">
        <w:rPr>
          <w:rFonts w:cs="Royal Arabic" w:hint="cs"/>
          <w:sz w:val="32"/>
          <w:szCs w:val="32"/>
          <w:rtl/>
        </w:rPr>
        <w:t xml:space="preserve">(15134) لعام 1446هـ، والمؤيد </w:t>
      </w:r>
      <w:r w:rsidR="00A91C2A">
        <w:rPr>
          <w:rFonts w:cs="Royal Arabic" w:hint="cs"/>
          <w:sz w:val="32"/>
          <w:szCs w:val="32"/>
          <w:rtl/>
        </w:rPr>
        <w:t>بحكم محكمة الاستئناف الإدارية بمنطقة الرياض رقم (16362) لعام 1446هـ.</w:t>
      </w:r>
    </w:p>
    <w:p w14:paraId="23020B21" w14:textId="172418DB" w:rsidR="005F73DD" w:rsidRDefault="00D07D6C" w:rsidP="007C55A3">
      <w:pPr>
        <w:jc w:val="both"/>
        <w:rPr>
          <w:rFonts w:cs="Royal Arabic"/>
          <w:sz w:val="32"/>
          <w:szCs w:val="32"/>
          <w:rtl/>
        </w:rPr>
      </w:pPr>
      <w:r>
        <w:rPr>
          <w:rFonts w:cs="Royal Arabic" w:hint="cs"/>
          <w:sz w:val="32"/>
          <w:szCs w:val="32"/>
          <w:rtl/>
        </w:rPr>
        <w:t xml:space="preserve">ثانياً: </w:t>
      </w:r>
      <w:r w:rsidR="005F73DD">
        <w:rPr>
          <w:rFonts w:cs="Royal Arabic" w:hint="cs"/>
          <w:sz w:val="32"/>
          <w:szCs w:val="32"/>
          <w:rtl/>
        </w:rPr>
        <w:t xml:space="preserve">جمع المدعي في دعواه بين دعوى الإلغاء والتعويض، كما قد جمع بين </w:t>
      </w:r>
      <w:r w:rsidR="004365DA">
        <w:rPr>
          <w:rFonts w:cs="Royal Arabic" w:hint="cs"/>
          <w:sz w:val="32"/>
          <w:szCs w:val="32"/>
          <w:rtl/>
        </w:rPr>
        <w:t xml:space="preserve">طلب إلغاء </w:t>
      </w:r>
      <w:r w:rsidR="005F73DD">
        <w:rPr>
          <w:rFonts w:cs="Royal Arabic" w:hint="cs"/>
          <w:sz w:val="32"/>
          <w:szCs w:val="32"/>
          <w:rtl/>
        </w:rPr>
        <w:t>عدة قرارات مختلفة، وقد نصّت الفقرة (5/2) من اللائحة التنفيذية لنظام المرافعات أمام ديوان المظالم على: (لا يجمع في الدعوى بين أكثر من مدع، أو عدة طلبات لا رابط بينها، أو دعوى الإلغاء والتعويض)، وعليه؛ فإن دعواه لا تكون محررة وفقاً للمادة السادسة والستين من نظام المرافعات الشرعية والتي تنص على: (على القاضي أن يسأل المدعي عما هو لازم لتحرير دعواه قبل استجواب المدعى عليه، وليس له السير فيها قبل ذلك، وإذا عجز المدعي عن تحريرها أو امتنع عن ذلك فيحكم القاضي بصرف النظر عن الدعوى).</w:t>
      </w:r>
    </w:p>
    <w:p w14:paraId="2188EBB7" w14:textId="43BB87A8" w:rsidR="00A91C2A" w:rsidRDefault="00A91C2A" w:rsidP="00107211">
      <w:pPr>
        <w:jc w:val="both"/>
        <w:rPr>
          <w:rFonts w:cs="Royal Arabic"/>
          <w:sz w:val="32"/>
          <w:szCs w:val="32"/>
          <w:rtl/>
        </w:rPr>
      </w:pPr>
      <w:r>
        <w:rPr>
          <w:rFonts w:cs="Royal Arabic" w:hint="cs"/>
          <w:sz w:val="32"/>
          <w:szCs w:val="32"/>
          <w:rtl/>
        </w:rPr>
        <w:t>بناءً على ما سبق؛ نطلب من فضيلتكم</w:t>
      </w:r>
      <w:r w:rsidR="0014743C">
        <w:rPr>
          <w:rFonts w:cs="Royal Arabic" w:hint="cs"/>
          <w:sz w:val="32"/>
          <w:szCs w:val="32"/>
          <w:rtl/>
        </w:rPr>
        <w:t xml:space="preserve"> الحكم بـ</w:t>
      </w:r>
      <w:r>
        <w:rPr>
          <w:rFonts w:cs="Royal Arabic" w:hint="cs"/>
          <w:sz w:val="32"/>
          <w:szCs w:val="32"/>
          <w:rtl/>
        </w:rPr>
        <w:t>:</w:t>
      </w:r>
    </w:p>
    <w:p w14:paraId="580E1BE6" w14:textId="1B9289FD" w:rsidR="002F6F45" w:rsidRDefault="002F6F45" w:rsidP="00107211">
      <w:pPr>
        <w:jc w:val="both"/>
        <w:rPr>
          <w:rFonts w:cs="Royal Arabic"/>
          <w:sz w:val="32"/>
          <w:szCs w:val="32"/>
          <w:rtl/>
        </w:rPr>
      </w:pPr>
      <w:r>
        <w:rPr>
          <w:rFonts w:cs="Royal Arabic" w:hint="cs"/>
          <w:sz w:val="32"/>
          <w:szCs w:val="32"/>
          <w:rtl/>
        </w:rPr>
        <w:t xml:space="preserve">أساسياً: </w:t>
      </w:r>
      <w:r w:rsidR="00D36868">
        <w:rPr>
          <w:rFonts w:cs="Royal Arabic" w:hint="cs"/>
          <w:sz w:val="32"/>
          <w:szCs w:val="32"/>
          <w:rtl/>
        </w:rPr>
        <w:t>عدم اختصاص محاكم ديوان المظالم ولائياً بنظر الدعوى.</w:t>
      </w:r>
    </w:p>
    <w:p w14:paraId="6ACFCA0D" w14:textId="4668DFE9" w:rsidR="00AB019B" w:rsidRPr="00107211" w:rsidRDefault="002F6F45" w:rsidP="00DC0395">
      <w:pPr>
        <w:jc w:val="both"/>
        <w:rPr>
          <w:rFonts w:cs="Royal Arabic"/>
          <w:sz w:val="32"/>
          <w:szCs w:val="32"/>
        </w:rPr>
      </w:pPr>
      <w:r>
        <w:rPr>
          <w:rFonts w:cs="Royal Arabic" w:hint="cs"/>
          <w:sz w:val="32"/>
          <w:szCs w:val="32"/>
          <w:rtl/>
        </w:rPr>
        <w:t>احت</w:t>
      </w:r>
      <w:r w:rsidR="0014743C">
        <w:rPr>
          <w:rFonts w:cs="Royal Arabic" w:hint="cs"/>
          <w:sz w:val="32"/>
          <w:szCs w:val="32"/>
          <w:rtl/>
        </w:rPr>
        <w:t xml:space="preserve">ياطياً: </w:t>
      </w:r>
      <w:r w:rsidR="00D36868">
        <w:rPr>
          <w:rFonts w:cs="Royal Arabic" w:hint="cs"/>
          <w:sz w:val="32"/>
          <w:szCs w:val="32"/>
          <w:rtl/>
        </w:rPr>
        <w:t>عدم قبول الدعوى؛ لعدم تحريرها</w:t>
      </w:r>
      <w:r w:rsidR="00AB019B">
        <w:rPr>
          <w:rFonts w:cs="Royal Arabic" w:hint="cs"/>
          <w:sz w:val="32"/>
          <w:szCs w:val="32"/>
          <w:rtl/>
        </w:rPr>
        <w:t>.</w:t>
      </w:r>
    </w:p>
    <w:sectPr w:rsidR="00AB019B" w:rsidRPr="00107211" w:rsidSect="009D1B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11"/>
    <w:rsid w:val="000A509D"/>
    <w:rsid w:val="00107211"/>
    <w:rsid w:val="0014743C"/>
    <w:rsid w:val="00240DC3"/>
    <w:rsid w:val="00255A2E"/>
    <w:rsid w:val="002F6F45"/>
    <w:rsid w:val="004365DA"/>
    <w:rsid w:val="004572DB"/>
    <w:rsid w:val="00470694"/>
    <w:rsid w:val="005F73DD"/>
    <w:rsid w:val="00640DAE"/>
    <w:rsid w:val="006B418A"/>
    <w:rsid w:val="00766396"/>
    <w:rsid w:val="007C55A3"/>
    <w:rsid w:val="007D263E"/>
    <w:rsid w:val="00960281"/>
    <w:rsid w:val="009D1B13"/>
    <w:rsid w:val="009D3183"/>
    <w:rsid w:val="00A91C2A"/>
    <w:rsid w:val="00AB019B"/>
    <w:rsid w:val="00AC6C63"/>
    <w:rsid w:val="00AD3353"/>
    <w:rsid w:val="00B60280"/>
    <w:rsid w:val="00B7428D"/>
    <w:rsid w:val="00BF1007"/>
    <w:rsid w:val="00C27FA5"/>
    <w:rsid w:val="00D07D6C"/>
    <w:rsid w:val="00D36868"/>
    <w:rsid w:val="00D36AED"/>
    <w:rsid w:val="00D41730"/>
    <w:rsid w:val="00DC0395"/>
    <w:rsid w:val="00ED6484"/>
    <w:rsid w:val="00F20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3D96"/>
  <w15:chartTrackingRefBased/>
  <w15:docId w15:val="{FBBAA48E-185B-45BC-A66C-42E802600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107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07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0721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0721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0721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072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072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072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072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0721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0721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0721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0721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07211"/>
    <w:rPr>
      <w:rFonts w:eastAsiaTheme="majorEastAsia" w:cstheme="majorBidi"/>
      <w:color w:val="2F5496" w:themeColor="accent1" w:themeShade="BF"/>
    </w:rPr>
  </w:style>
  <w:style w:type="character" w:customStyle="1" w:styleId="6Char">
    <w:name w:val="عنوان 6 Char"/>
    <w:basedOn w:val="a0"/>
    <w:link w:val="6"/>
    <w:uiPriority w:val="9"/>
    <w:semiHidden/>
    <w:rsid w:val="00107211"/>
    <w:rPr>
      <w:rFonts w:eastAsiaTheme="majorEastAsia" w:cstheme="majorBidi"/>
      <w:i/>
      <w:iCs/>
      <w:color w:val="595959" w:themeColor="text1" w:themeTint="A6"/>
    </w:rPr>
  </w:style>
  <w:style w:type="character" w:customStyle="1" w:styleId="7Char">
    <w:name w:val="عنوان 7 Char"/>
    <w:basedOn w:val="a0"/>
    <w:link w:val="7"/>
    <w:uiPriority w:val="9"/>
    <w:semiHidden/>
    <w:rsid w:val="00107211"/>
    <w:rPr>
      <w:rFonts w:eastAsiaTheme="majorEastAsia" w:cstheme="majorBidi"/>
      <w:color w:val="595959" w:themeColor="text1" w:themeTint="A6"/>
    </w:rPr>
  </w:style>
  <w:style w:type="character" w:customStyle="1" w:styleId="8Char">
    <w:name w:val="عنوان 8 Char"/>
    <w:basedOn w:val="a0"/>
    <w:link w:val="8"/>
    <w:uiPriority w:val="9"/>
    <w:semiHidden/>
    <w:rsid w:val="00107211"/>
    <w:rPr>
      <w:rFonts w:eastAsiaTheme="majorEastAsia" w:cstheme="majorBidi"/>
      <w:i/>
      <w:iCs/>
      <w:color w:val="272727" w:themeColor="text1" w:themeTint="D8"/>
    </w:rPr>
  </w:style>
  <w:style w:type="character" w:customStyle="1" w:styleId="9Char">
    <w:name w:val="عنوان 9 Char"/>
    <w:basedOn w:val="a0"/>
    <w:link w:val="9"/>
    <w:uiPriority w:val="9"/>
    <w:semiHidden/>
    <w:rsid w:val="00107211"/>
    <w:rPr>
      <w:rFonts w:eastAsiaTheme="majorEastAsia" w:cstheme="majorBidi"/>
      <w:color w:val="272727" w:themeColor="text1" w:themeTint="D8"/>
    </w:rPr>
  </w:style>
  <w:style w:type="paragraph" w:styleId="a3">
    <w:name w:val="Title"/>
    <w:basedOn w:val="a"/>
    <w:next w:val="a"/>
    <w:link w:val="Char"/>
    <w:uiPriority w:val="10"/>
    <w:qFormat/>
    <w:rsid w:val="00107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0721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0721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0721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07211"/>
    <w:pPr>
      <w:spacing w:before="160"/>
      <w:jc w:val="center"/>
    </w:pPr>
    <w:rPr>
      <w:i/>
      <w:iCs/>
      <w:color w:val="404040" w:themeColor="text1" w:themeTint="BF"/>
    </w:rPr>
  </w:style>
  <w:style w:type="character" w:customStyle="1" w:styleId="Char1">
    <w:name w:val="اقتباس Char"/>
    <w:basedOn w:val="a0"/>
    <w:link w:val="a5"/>
    <w:uiPriority w:val="29"/>
    <w:rsid w:val="00107211"/>
    <w:rPr>
      <w:i/>
      <w:iCs/>
      <w:color w:val="404040" w:themeColor="text1" w:themeTint="BF"/>
    </w:rPr>
  </w:style>
  <w:style w:type="paragraph" w:styleId="a6">
    <w:name w:val="List Paragraph"/>
    <w:basedOn w:val="a"/>
    <w:uiPriority w:val="34"/>
    <w:qFormat/>
    <w:rsid w:val="00107211"/>
    <w:pPr>
      <w:ind w:left="720"/>
      <w:contextualSpacing/>
    </w:pPr>
  </w:style>
  <w:style w:type="character" w:styleId="a7">
    <w:name w:val="Intense Emphasis"/>
    <w:basedOn w:val="a0"/>
    <w:uiPriority w:val="21"/>
    <w:qFormat/>
    <w:rsid w:val="00107211"/>
    <w:rPr>
      <w:i/>
      <w:iCs/>
      <w:color w:val="2F5496" w:themeColor="accent1" w:themeShade="BF"/>
    </w:rPr>
  </w:style>
  <w:style w:type="paragraph" w:styleId="a8">
    <w:name w:val="Intense Quote"/>
    <w:basedOn w:val="a"/>
    <w:next w:val="a"/>
    <w:link w:val="Char2"/>
    <w:uiPriority w:val="30"/>
    <w:qFormat/>
    <w:rsid w:val="00107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07211"/>
    <w:rPr>
      <w:i/>
      <w:iCs/>
      <w:color w:val="2F5496" w:themeColor="accent1" w:themeShade="BF"/>
    </w:rPr>
  </w:style>
  <w:style w:type="character" w:styleId="a9">
    <w:name w:val="Intense Reference"/>
    <w:basedOn w:val="a0"/>
    <w:uiPriority w:val="32"/>
    <w:qFormat/>
    <w:rsid w:val="001072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2449</Characters>
  <Application>Microsoft Office Word</Application>
  <DocSecurity>0</DocSecurity>
  <Lines>20</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الخضيري</dc:creator>
  <cp:keywords/>
  <dc:description/>
  <cp:lastModifiedBy>عبدالرحمن الخضيري</cp:lastModifiedBy>
  <cp:revision>21</cp:revision>
  <dcterms:created xsi:type="dcterms:W3CDTF">2025-12-08T08:29:00Z</dcterms:created>
  <dcterms:modified xsi:type="dcterms:W3CDTF">2025-12-09T08:45:00Z</dcterms:modified>
</cp:coreProperties>
</file>