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69F6" w:rsidRPr="00942F5E" w:rsidRDefault="004944D1" w:rsidP="00791ACD">
      <w:pPr>
        <w:pStyle w:val="a3"/>
        <w:bidi/>
        <w:jc w:val="center"/>
        <w:rPr>
          <w:rFonts w:ascii="Traditional Arabic" w:hAnsi="Traditional Arabic" w:cs="Royal Arabic"/>
          <w:b/>
          <w:bCs/>
          <w:sz w:val="36"/>
          <w:szCs w:val="36"/>
          <w:rtl/>
        </w:rPr>
      </w:pPr>
      <w:r>
        <w:rPr>
          <w:rFonts w:ascii="Traditional Arabic" w:hAnsi="Traditional Arabic" w:cs="Royal Arabic" w:hint="cs"/>
          <w:b/>
          <w:bCs/>
          <w:sz w:val="36"/>
          <w:szCs w:val="36"/>
          <w:rtl/>
        </w:rPr>
        <w:t xml:space="preserve">مذكرة الدفاع </w:t>
      </w:r>
      <w:r w:rsidR="00791ACD">
        <w:rPr>
          <w:rFonts w:ascii="Traditional Arabic" w:hAnsi="Traditional Arabic" w:cs="Royal Arabic" w:hint="cs"/>
          <w:b/>
          <w:bCs/>
          <w:sz w:val="36"/>
          <w:szCs w:val="36"/>
          <w:rtl/>
        </w:rPr>
        <w:t>الثانية</w:t>
      </w:r>
    </w:p>
    <w:p w:rsidR="001837CD" w:rsidRPr="001837CD" w:rsidRDefault="001837CD" w:rsidP="005F68A9">
      <w:pPr>
        <w:bidi/>
        <w:spacing w:before="100" w:beforeAutospacing="1" w:after="100" w:afterAutospacing="1"/>
        <w:jc w:val="center"/>
        <w:rPr>
          <w:rFonts w:ascii="Traditional Arabic" w:eastAsia="Calibri" w:hAnsi="Traditional Arabic" w:cs="Royal Arabic"/>
          <w:b/>
          <w:bCs/>
          <w:sz w:val="36"/>
          <w:szCs w:val="36"/>
        </w:rPr>
      </w:pPr>
      <w:r w:rsidRPr="001837CD">
        <w:rPr>
          <w:rFonts w:ascii="Traditional Arabic" w:eastAsia="Calibri" w:hAnsi="Traditional Arabic" w:cs="Royal Arabic"/>
          <w:b/>
          <w:bCs/>
          <w:sz w:val="36"/>
          <w:szCs w:val="36"/>
          <w:rtl/>
        </w:rPr>
        <w:t xml:space="preserve">المحكمة: المحكمة </w:t>
      </w:r>
      <w:r w:rsidR="005F68A9">
        <w:rPr>
          <w:rFonts w:ascii="Traditional Arabic" w:eastAsia="Calibri" w:hAnsi="Traditional Arabic" w:cs="Royal Arabic" w:hint="cs"/>
          <w:b/>
          <w:bCs/>
          <w:sz w:val="36"/>
          <w:szCs w:val="36"/>
          <w:rtl/>
        </w:rPr>
        <w:t>الإدارية بجدة</w:t>
      </w:r>
      <w:r w:rsidRPr="001837CD">
        <w:rPr>
          <w:rFonts w:ascii="Traditional Arabic" w:eastAsia="Calibri" w:hAnsi="Traditional Arabic" w:cs="Royal Arabic"/>
          <w:b/>
          <w:bCs/>
          <w:sz w:val="36"/>
          <w:szCs w:val="36"/>
          <w:rtl/>
        </w:rPr>
        <w:t xml:space="preserve"> </w:t>
      </w:r>
      <w:r w:rsidRPr="001837CD">
        <w:rPr>
          <w:rFonts w:ascii="Traditional Arabic" w:eastAsia="Calibri" w:hAnsi="Traditional Arabic" w:cs="Royal Arabic"/>
          <w:b/>
          <w:bCs/>
          <w:sz w:val="36"/>
          <w:szCs w:val="36"/>
          <w:rtl/>
        </w:rPr>
        <w:br/>
        <w:t xml:space="preserve">رقم الدعوى: </w:t>
      </w:r>
      <w:r w:rsidRPr="001837CD">
        <w:rPr>
          <w:rFonts w:ascii="Sakkal Majalla" w:eastAsia="Calibri" w:hAnsi="Sakkal Majalla" w:cs="Royal Arabic" w:hint="cs"/>
          <w:b/>
          <w:bCs/>
          <w:sz w:val="36"/>
          <w:szCs w:val="36"/>
          <w:rtl/>
        </w:rPr>
        <w:t>(</w:t>
      </w:r>
      <w:r w:rsidR="005F68A9">
        <w:rPr>
          <w:rFonts w:eastAsia="Calibri" w:hint="cs"/>
          <w:b/>
          <w:bCs/>
          <w:sz w:val="36"/>
          <w:szCs w:val="36"/>
          <w:rtl/>
        </w:rPr>
        <w:t>1849</w:t>
      </w:r>
      <w:r w:rsidRPr="001837CD">
        <w:rPr>
          <w:rFonts w:ascii="Sakkal Majalla" w:eastAsia="Calibri" w:hAnsi="Sakkal Majalla" w:cs="Royal Arabic" w:hint="cs"/>
          <w:b/>
          <w:bCs/>
          <w:sz w:val="36"/>
          <w:szCs w:val="36"/>
          <w:rtl/>
        </w:rPr>
        <w:t>)</w:t>
      </w:r>
      <w:r w:rsidRPr="001837CD">
        <w:rPr>
          <w:rFonts w:ascii="Traditional Arabic" w:eastAsia="Calibri" w:hAnsi="Traditional Arabic" w:cs="Royal Arabic" w:hint="cs"/>
          <w:b/>
          <w:bCs/>
          <w:sz w:val="36"/>
          <w:szCs w:val="36"/>
          <w:rtl/>
        </w:rPr>
        <w:t xml:space="preserve"> لعام 144</w:t>
      </w:r>
      <w:r w:rsidR="005F68A9">
        <w:rPr>
          <w:rFonts w:ascii="Traditional Arabic" w:eastAsia="Calibri" w:hAnsi="Traditional Arabic" w:cs="Royal Arabic" w:hint="cs"/>
          <w:b/>
          <w:bCs/>
          <w:sz w:val="36"/>
          <w:szCs w:val="36"/>
          <w:rtl/>
        </w:rPr>
        <w:t>6</w:t>
      </w:r>
      <w:r w:rsidRPr="001837CD">
        <w:rPr>
          <w:rFonts w:ascii="Traditional Arabic" w:eastAsia="Calibri" w:hAnsi="Traditional Arabic" w:cs="Royal Arabic" w:hint="cs"/>
          <w:b/>
          <w:bCs/>
          <w:sz w:val="36"/>
          <w:szCs w:val="36"/>
          <w:rtl/>
        </w:rPr>
        <w:t>هـ</w:t>
      </w:r>
      <w:r w:rsidRPr="001837CD">
        <w:rPr>
          <w:rFonts w:ascii="Traditional Arabic" w:eastAsia="Calibri" w:hAnsi="Traditional Arabic" w:cs="Royal Arabic"/>
          <w:b/>
          <w:bCs/>
          <w:sz w:val="36"/>
          <w:szCs w:val="36"/>
          <w:rtl/>
        </w:rPr>
        <w:br/>
        <w:t xml:space="preserve">موضوعها: </w:t>
      </w:r>
      <w:r w:rsidR="005F68A9">
        <w:rPr>
          <w:rFonts w:ascii="Traditional Arabic" w:eastAsia="Calibri" w:hAnsi="Traditional Arabic" w:cs="Royal Arabic" w:hint="cs"/>
          <w:b/>
          <w:bCs/>
          <w:sz w:val="36"/>
          <w:szCs w:val="36"/>
          <w:rtl/>
        </w:rPr>
        <w:t>مطالبة المدعي إلزام المحكمة الإدارية بإصدار حكم يلزمها بتسليمه نسخة مصدقة من لائحة التماس الخطوط السعودية المذكورة في صحيفة الدعوى</w:t>
      </w:r>
      <w:r w:rsidR="005F68A9">
        <w:rPr>
          <w:rFonts w:ascii="Traditional Arabic" w:eastAsia="Calibri" w:hAnsi="Traditional Arabic" w:cs="Royal Arabic"/>
          <w:b/>
          <w:bCs/>
          <w:sz w:val="36"/>
          <w:szCs w:val="36"/>
          <w:rtl/>
        </w:rPr>
        <w:t xml:space="preserve"> </w:t>
      </w:r>
      <w:r w:rsidR="005F68A9">
        <w:rPr>
          <w:rFonts w:ascii="Traditional Arabic" w:eastAsia="Calibri" w:hAnsi="Traditional Arabic" w:cs="Royal Arabic"/>
          <w:b/>
          <w:bCs/>
          <w:sz w:val="36"/>
          <w:szCs w:val="36"/>
          <w:rtl/>
        </w:rPr>
        <w:br/>
        <w:t>المدعي:</w:t>
      </w:r>
      <w:r w:rsidR="005F68A9">
        <w:rPr>
          <w:rFonts w:ascii="Traditional Arabic" w:eastAsia="Calibri" w:hAnsi="Traditional Arabic" w:cs="Royal Arabic" w:hint="cs"/>
          <w:b/>
          <w:bCs/>
          <w:sz w:val="36"/>
          <w:szCs w:val="36"/>
          <w:rtl/>
        </w:rPr>
        <w:t xml:space="preserve"> عبدالله ناصر عبدالله الشهري</w:t>
      </w:r>
      <w:r w:rsidRPr="001837CD">
        <w:rPr>
          <w:rFonts w:ascii="Traditional Arabic" w:eastAsia="Calibri" w:hAnsi="Traditional Arabic" w:cs="Royal Arabic"/>
          <w:b/>
          <w:bCs/>
          <w:sz w:val="36"/>
          <w:szCs w:val="36"/>
          <w:rtl/>
        </w:rPr>
        <w:br/>
        <w:t>المدعى عليه: ديوان المظالم</w:t>
      </w:r>
      <w:r w:rsidR="005F68A9">
        <w:rPr>
          <w:rFonts w:ascii="Traditional Arabic" w:eastAsia="Calibri" w:hAnsi="Traditional Arabic" w:cs="Royal Arabic" w:hint="cs"/>
          <w:b/>
          <w:bCs/>
          <w:sz w:val="36"/>
          <w:szCs w:val="36"/>
          <w:rtl/>
        </w:rPr>
        <w:t xml:space="preserve"> / المحكمة الإدارية بجدة</w:t>
      </w:r>
    </w:p>
    <w:p w:rsidR="00791ACD" w:rsidRPr="001837CD" w:rsidRDefault="00791ACD" w:rsidP="00791ACD">
      <w:pPr>
        <w:widowControl w:val="0"/>
        <w:bidi/>
        <w:spacing w:after="120" w:line="276" w:lineRule="auto"/>
        <w:ind w:firstLine="454"/>
        <w:jc w:val="both"/>
        <w:rPr>
          <w:rFonts w:ascii="Traditional Arabic" w:eastAsia="Times New Roman" w:hAnsi="Traditional Arabic" w:cs="Royal Arabic"/>
          <w:sz w:val="42"/>
          <w:szCs w:val="42"/>
          <w:rtl/>
          <w:lang w:bidi="ar-JO"/>
        </w:rPr>
      </w:pPr>
    </w:p>
    <w:p w:rsidR="00791ACD" w:rsidRPr="00791ACD" w:rsidRDefault="00791ACD" w:rsidP="005F68A9">
      <w:pPr>
        <w:widowControl w:val="0"/>
        <w:bidi/>
        <w:spacing w:after="120" w:line="276" w:lineRule="auto"/>
        <w:ind w:firstLine="454"/>
        <w:jc w:val="both"/>
        <w:rPr>
          <w:rFonts w:ascii="Traditional Arabic" w:eastAsia="Times New Roman" w:hAnsi="Traditional Arabic" w:cs="Royal Arabic"/>
          <w:sz w:val="36"/>
          <w:szCs w:val="36"/>
        </w:rPr>
      </w:pPr>
      <w:r w:rsidRPr="00791ACD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 xml:space="preserve">بالاطلاع على </w:t>
      </w:r>
      <w:r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>مذكرة الرد المقدمة من المدعي</w:t>
      </w:r>
      <w:r w:rsidRPr="00791ACD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 xml:space="preserve">، فإن الديوان يتمسك بمذكرته المقدمة للدائرة </w:t>
      </w:r>
      <w:r w:rsidR="00904C71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>المتضمنة</w:t>
      </w:r>
      <w:r w:rsidRPr="00791ACD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 xml:space="preserve"> </w:t>
      </w:r>
      <w:r w:rsidR="005F68A9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  <w:lang w:bidi="ar-JO"/>
        </w:rPr>
        <w:t xml:space="preserve">الدفع بعدم الاختصاص </w:t>
      </w:r>
      <w:proofErr w:type="spellStart"/>
      <w:r w:rsidR="005F68A9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  <w:lang w:bidi="ar-JO"/>
        </w:rPr>
        <w:t>الولائي</w:t>
      </w:r>
      <w:proofErr w:type="spellEnd"/>
      <w:r w:rsidR="005F68A9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  <w:lang w:bidi="ar-JO"/>
        </w:rPr>
        <w:t xml:space="preserve"> لديوان المظالم في نظر هذه الدعوى</w:t>
      </w:r>
      <w:r w:rsidRPr="00791ACD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>؛ بناء</w:t>
      </w:r>
      <w:r w:rsidR="001837CD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 xml:space="preserve"> على</w:t>
      </w:r>
      <w:r w:rsidRPr="00791ACD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 xml:space="preserve"> </w:t>
      </w:r>
      <w:r w:rsidR="00904C71">
        <w:rPr>
          <w:rFonts w:ascii="Traditional Arabic" w:eastAsia="Times New Roman" w:hAnsi="Traditional Arabic" w:cs="Royal Arabic"/>
          <w:sz w:val="36"/>
          <w:szCs w:val="36"/>
          <w:rtl/>
        </w:rPr>
        <w:t>أن</w:t>
      </w:r>
      <w:r w:rsidR="005F68A9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 ما يطالب به المدعي داخل ضمن أعمال السلطة القضائية، ومن ضمن سلطتها التقديرية، ورقابة القضاء تنحسر عن ذلك؛ مما تكون معه المحكمة غير مختصة </w:t>
      </w:r>
      <w:proofErr w:type="spellStart"/>
      <w:r w:rsidR="005F68A9">
        <w:rPr>
          <w:rFonts w:ascii="Traditional Arabic" w:eastAsia="Times New Roman" w:hAnsi="Traditional Arabic" w:cs="Royal Arabic" w:hint="cs"/>
          <w:sz w:val="36"/>
          <w:szCs w:val="36"/>
          <w:rtl/>
        </w:rPr>
        <w:t>ولائيًا</w:t>
      </w:r>
      <w:proofErr w:type="spellEnd"/>
      <w:r w:rsidR="005F68A9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 بنظر </w:t>
      </w:r>
      <w:proofErr w:type="gramStart"/>
      <w:r w:rsidR="005F68A9">
        <w:rPr>
          <w:rFonts w:ascii="Traditional Arabic" w:eastAsia="Times New Roman" w:hAnsi="Traditional Arabic" w:cs="Royal Arabic" w:hint="cs"/>
          <w:sz w:val="36"/>
          <w:szCs w:val="36"/>
          <w:rtl/>
        </w:rPr>
        <w:t>الدعوى</w:t>
      </w:r>
      <w:r w:rsidR="001837CD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 </w:t>
      </w:r>
      <w:r w:rsidR="00E70AAB">
        <w:rPr>
          <w:rFonts w:ascii="Traditional Arabic" w:eastAsia="Times New Roman" w:hAnsi="Traditional Arabic" w:cs="Royal Arabic" w:hint="cs"/>
          <w:sz w:val="36"/>
          <w:szCs w:val="36"/>
          <w:rtl/>
        </w:rPr>
        <w:t>.</w:t>
      </w:r>
      <w:bookmarkStart w:id="0" w:name="_GoBack"/>
      <w:bookmarkEnd w:id="0"/>
      <w:proofErr w:type="gramEnd"/>
    </w:p>
    <w:p w:rsidR="00791ACD" w:rsidRDefault="00791ACD" w:rsidP="005F68A9">
      <w:pPr>
        <w:widowControl w:val="0"/>
        <w:bidi/>
        <w:spacing w:after="120" w:line="276" w:lineRule="auto"/>
        <w:jc w:val="both"/>
        <w:rPr>
          <w:rFonts w:ascii="Traditional Arabic" w:eastAsia="Times New Roman" w:hAnsi="Traditional Arabic" w:cs="Royal Arabic"/>
          <w:b/>
          <w:bCs/>
          <w:sz w:val="36"/>
          <w:szCs w:val="36"/>
          <w:rtl/>
          <w:lang w:bidi="ar-JO"/>
        </w:rPr>
      </w:pPr>
      <w:r w:rsidRPr="00791ACD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 xml:space="preserve">   </w:t>
      </w:r>
      <w:r w:rsidRPr="00791ACD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  <w:lang w:bidi="ar-JO"/>
        </w:rPr>
        <w:t xml:space="preserve">وبناءً على ما تقدم؛ </w:t>
      </w:r>
      <w:r w:rsidR="00904C71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  <w:lang w:bidi="ar-JO"/>
        </w:rPr>
        <w:t xml:space="preserve">فإن </w:t>
      </w:r>
      <w:r w:rsidRPr="00791ACD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  <w:lang w:bidi="ar-JO"/>
        </w:rPr>
        <w:t>الديوان</w:t>
      </w:r>
      <w:r w:rsidR="00904C71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  <w:lang w:bidi="ar-JO"/>
        </w:rPr>
        <w:t xml:space="preserve"> يؤكد على مطالبته</w:t>
      </w:r>
      <w:r w:rsidRPr="00791ACD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  <w:lang w:bidi="ar-JO"/>
        </w:rPr>
        <w:t xml:space="preserve"> بالحكم </w:t>
      </w:r>
      <w:r w:rsidR="005F68A9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  <w:lang w:bidi="ar-JO"/>
        </w:rPr>
        <w:t xml:space="preserve">بعدم الاختصاص </w:t>
      </w:r>
      <w:proofErr w:type="spellStart"/>
      <w:r w:rsidR="005F68A9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  <w:lang w:bidi="ar-JO"/>
        </w:rPr>
        <w:t>الولائي</w:t>
      </w:r>
      <w:proofErr w:type="spellEnd"/>
      <w:r w:rsidR="00904C71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  <w:lang w:bidi="ar-JO"/>
        </w:rPr>
        <w:t>.</w:t>
      </w:r>
      <w:r w:rsidRPr="00791ACD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  <w:lang w:bidi="ar-JO"/>
        </w:rPr>
        <w:t xml:space="preserve"> </w:t>
      </w:r>
    </w:p>
    <w:p w:rsidR="00904C71" w:rsidRDefault="00904C71" w:rsidP="00904C71">
      <w:pPr>
        <w:widowControl w:val="0"/>
        <w:bidi/>
        <w:spacing w:after="120" w:line="276" w:lineRule="auto"/>
        <w:jc w:val="both"/>
        <w:rPr>
          <w:rFonts w:ascii="Traditional Arabic" w:eastAsia="Times New Roman" w:hAnsi="Traditional Arabic" w:cs="Royal Arabic"/>
          <w:b/>
          <w:bCs/>
          <w:sz w:val="36"/>
          <w:szCs w:val="36"/>
          <w:rtl/>
          <w:lang w:bidi="ar-JO"/>
        </w:rPr>
      </w:pPr>
    </w:p>
    <w:p w:rsidR="00904C71" w:rsidRPr="00791ACD" w:rsidRDefault="00904C71" w:rsidP="00904C71">
      <w:pPr>
        <w:widowControl w:val="0"/>
        <w:bidi/>
        <w:spacing w:after="120" w:line="276" w:lineRule="auto"/>
        <w:jc w:val="both"/>
        <w:rPr>
          <w:rFonts w:ascii="Traditional Arabic" w:eastAsia="Times New Roman" w:hAnsi="Traditional Arabic" w:cs="Royal Arabic"/>
          <w:b/>
          <w:bCs/>
          <w:sz w:val="36"/>
          <w:szCs w:val="36"/>
          <w:rtl/>
          <w:lang w:bidi="ar-JO"/>
        </w:rPr>
      </w:pPr>
    </w:p>
    <w:p w:rsidR="00942F5E" w:rsidRDefault="00F47A38" w:rsidP="00942F5E">
      <w:pPr>
        <w:pStyle w:val="a3"/>
        <w:bidi/>
        <w:spacing w:after="240" w:afterAutospacing="0"/>
        <w:jc w:val="right"/>
        <w:rPr>
          <w:rFonts w:ascii="Traditional Arabic" w:hAnsi="Traditional Arabic" w:cs="Royal Arabic"/>
          <w:b/>
          <w:bCs/>
          <w:color w:val="FFFFFF" w:themeColor="background1"/>
          <w:sz w:val="36"/>
          <w:szCs w:val="36"/>
          <w:rtl/>
        </w:rPr>
      </w:pPr>
      <w:r w:rsidRPr="00942F5E">
        <w:rPr>
          <w:rFonts w:ascii="Traditional Arabic" w:hAnsi="Traditional Arabic" w:cs="Royal Arabic"/>
          <w:b/>
          <w:bCs/>
          <w:sz w:val="36"/>
          <w:szCs w:val="36"/>
          <w:rtl/>
        </w:rPr>
        <w:t>ممثل ديوان المظالم</w:t>
      </w:r>
      <w:r w:rsidR="00942F5E">
        <w:rPr>
          <w:rFonts w:ascii="Traditional Arabic" w:hAnsi="Traditional Arabic" w:cs="Royal Arabic" w:hint="cs"/>
          <w:b/>
          <w:bCs/>
          <w:sz w:val="36"/>
          <w:szCs w:val="36"/>
          <w:rtl/>
        </w:rPr>
        <w:t xml:space="preserve">    </w:t>
      </w:r>
      <w:proofErr w:type="gramStart"/>
      <w:r w:rsidR="00942F5E">
        <w:rPr>
          <w:rFonts w:ascii="Traditional Arabic" w:hAnsi="Traditional Arabic" w:cs="Royal Arabic" w:hint="cs"/>
          <w:b/>
          <w:bCs/>
          <w:sz w:val="36"/>
          <w:szCs w:val="36"/>
          <w:rtl/>
        </w:rPr>
        <w:t xml:space="preserve">  </w:t>
      </w:r>
      <w:r w:rsidR="00942F5E" w:rsidRPr="00942F5E">
        <w:rPr>
          <w:rFonts w:ascii="Traditional Arabic" w:hAnsi="Traditional Arabic" w:cs="Royal Arabic" w:hint="cs"/>
          <w:b/>
          <w:bCs/>
          <w:color w:val="FFFFFF" w:themeColor="background1"/>
          <w:sz w:val="36"/>
          <w:szCs w:val="36"/>
          <w:rtl/>
        </w:rPr>
        <w:t>.</w:t>
      </w:r>
      <w:proofErr w:type="gramEnd"/>
    </w:p>
    <w:p w:rsidR="00C76168" w:rsidRPr="00942F5E" w:rsidRDefault="00F47A38" w:rsidP="005F68A9">
      <w:pPr>
        <w:pStyle w:val="a3"/>
        <w:bidi/>
        <w:spacing w:after="240" w:afterAutospacing="0"/>
        <w:jc w:val="right"/>
        <w:rPr>
          <w:rFonts w:ascii="Traditional Arabic" w:hAnsi="Traditional Arabic" w:cs="Royal Arabic"/>
          <w:sz w:val="36"/>
          <w:szCs w:val="36"/>
        </w:rPr>
      </w:pPr>
      <w:r w:rsidRPr="00942F5E">
        <w:rPr>
          <w:rFonts w:ascii="Traditional Arabic" w:hAnsi="Traditional Arabic" w:cs="Royal Arabic"/>
          <w:b/>
          <w:bCs/>
          <w:sz w:val="36"/>
          <w:szCs w:val="36"/>
          <w:rtl/>
        </w:rPr>
        <w:br/>
      </w:r>
      <w:r w:rsidR="005F68A9">
        <w:rPr>
          <w:rFonts w:ascii="Traditional Arabic" w:hAnsi="Traditional Arabic" w:cs="Royal Arabic" w:hint="cs"/>
          <w:b/>
          <w:bCs/>
          <w:sz w:val="36"/>
          <w:szCs w:val="36"/>
          <w:rtl/>
        </w:rPr>
        <w:t xml:space="preserve">ناصر سالم الرشيد     </w:t>
      </w:r>
      <w:proofErr w:type="gramStart"/>
      <w:r w:rsidR="005F68A9">
        <w:rPr>
          <w:rFonts w:ascii="Traditional Arabic" w:hAnsi="Traditional Arabic" w:cs="Royal Arabic" w:hint="cs"/>
          <w:b/>
          <w:bCs/>
          <w:sz w:val="36"/>
          <w:szCs w:val="36"/>
          <w:rtl/>
        </w:rPr>
        <w:t xml:space="preserve">  </w:t>
      </w:r>
      <w:r w:rsidR="005F68A9" w:rsidRPr="005F68A9">
        <w:rPr>
          <w:rFonts w:ascii="Traditional Arabic" w:hAnsi="Traditional Arabic" w:cs="Royal Arabic" w:hint="cs"/>
          <w:b/>
          <w:bCs/>
          <w:color w:val="FFFFFF" w:themeColor="background1"/>
          <w:sz w:val="36"/>
          <w:szCs w:val="36"/>
          <w:rtl/>
        </w:rPr>
        <w:t>.</w:t>
      </w:r>
      <w:proofErr w:type="gramEnd"/>
      <w:r w:rsidR="005F68A9" w:rsidRPr="005F68A9">
        <w:rPr>
          <w:rFonts w:ascii="Traditional Arabic" w:hAnsi="Traditional Arabic" w:cs="Royal Arabic" w:hint="cs"/>
          <w:b/>
          <w:bCs/>
          <w:color w:val="FFFFFF" w:themeColor="background1"/>
          <w:sz w:val="36"/>
          <w:szCs w:val="36"/>
          <w:rtl/>
        </w:rPr>
        <w:t xml:space="preserve"> </w:t>
      </w:r>
    </w:p>
    <w:sectPr w:rsidR="00C76168" w:rsidRPr="00942F5E" w:rsidSect="00A07C6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Roy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7A38"/>
    <w:rsid w:val="000B593D"/>
    <w:rsid w:val="00160AA9"/>
    <w:rsid w:val="001837CD"/>
    <w:rsid w:val="001D0094"/>
    <w:rsid w:val="0022726E"/>
    <w:rsid w:val="004944D1"/>
    <w:rsid w:val="004F2211"/>
    <w:rsid w:val="005F68A9"/>
    <w:rsid w:val="00791ACD"/>
    <w:rsid w:val="008034B1"/>
    <w:rsid w:val="00904C71"/>
    <w:rsid w:val="00942F5E"/>
    <w:rsid w:val="00973764"/>
    <w:rsid w:val="00A07C66"/>
    <w:rsid w:val="00B17365"/>
    <w:rsid w:val="00B459D4"/>
    <w:rsid w:val="00B67297"/>
    <w:rsid w:val="00BE3502"/>
    <w:rsid w:val="00BF0D20"/>
    <w:rsid w:val="00BF685D"/>
    <w:rsid w:val="00C76168"/>
    <w:rsid w:val="00DA24F3"/>
    <w:rsid w:val="00DB55DF"/>
    <w:rsid w:val="00E54BC5"/>
    <w:rsid w:val="00E70AAB"/>
    <w:rsid w:val="00F070D5"/>
    <w:rsid w:val="00F269F6"/>
    <w:rsid w:val="00F4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128B54"/>
  <w15:docId w15:val="{2BF2C04C-1E32-42DA-BBE4-1BC482E9F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47A38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47A3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65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BOG</Company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الهنوف سليمان صالح البهدل</dc:creator>
  <cp:lastModifiedBy>عاصم ابراهيم حمد البازعي</cp:lastModifiedBy>
  <cp:revision>4</cp:revision>
  <cp:lastPrinted>2024-09-15T09:10:00Z</cp:lastPrinted>
  <dcterms:created xsi:type="dcterms:W3CDTF">2024-09-15T09:05:00Z</dcterms:created>
  <dcterms:modified xsi:type="dcterms:W3CDTF">2024-09-15T09:10:00Z</dcterms:modified>
</cp:coreProperties>
</file>