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YoY increase in revenue to $125 million, a gross profit margin of 58%, and a 30% EBITDA margin. The company's net income rose to $16 million, up from $10 million in Q2 2022. The expansion of their high-yield savings product line and the new RoboAdvisor platform have significantly grown their total addressable market. They have diversified their asset-backed securities portfolio and invested $25 million in AAA-rated corporate bonds. The company's total assets reached $1.5 billion, with total liabilities at $900 million, resulting in a solid equity base of $600 million. They have seen substantial organic user growth, with customer acquisition costs dropping by 15% and lifetime value growing by 25%. The company expects Q3 revenue to be around $135 million, driven by their blockchain solutions and AI-driven predictive analytics. They also anticipate raising $200 million from the upcoming IPO of their fintech subsidiary, Pay Plus.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company's total assets reached $1.5 billion, with total liabilities at $900 million, resulting in a solid equity base of $600 million.</w:t>
        <w:br/>
        <w:t>9. The debt-to-equity ratio stands at 1.5, a healthy figure considering the company's expansionary phase.</w:t>
        <w:br/>
        <w:t>10. The company reported substantial organic user growth, with customer acquisition costs dropping by 15% and lifetime value growing by 25%.</w:t>
        <w:br/>
        <w:t>11. The company has a value-at-risk model in place, with a 99% confidence level indicating a maximum loss of $5 million in the next trading day.</w:t>
        <w:br/>
        <w:t>12. The company maintains a healthy tier-one capital ratio of 12.5%.</w:t>
        <w:br/>
        <w:t>13. The forecast for the coming quarter is positive, with expected revenue around $135 million and 8% quarter-over-quarter growth.</w:t>
        <w:br/>
        <w:t>14. The growth is expected to be driven primarily by blockchain solutions and AI-driven predictive analytics.</w:t>
        <w:br/>
        <w:t>15. The company is preparing for the upcoming IPO of its fintech subsidiary, Pay Plus, expected to raise $200 million, which will significantly increase liquidity and support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specific action items or tasks.</w:t>
      </w:r>
    </w:p>
    <w:p/>
    <w:p>
      <w:pPr>
        <w:pStyle w:val="Heading1"/>
      </w:pPr>
      <w:r>
        <w:t>Sentiment</w:t>
      </w:r>
    </w:p>
    <w:p>
      <w:r>
        <w:t>The sentiment of the text is overwhelmingly positive. The language used throughout the text conveys a sense of success, growth, and optimism. The CEO of FinTech Plus discusses the company's impressive financial performance, including increased revenue, profit margins, and net income. He also highlights the company's successful diversification strategies, healthy balance sheet, and effective risk management. The CEO's forecast for the coming quarter is also positive, with expected growth in revenue and an exciting upcoming IPO. The closing remarks express gratitude towards shareholders and optimism for future success, further reinforcing the positive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