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rq6iy12pdxh8" w:id="0"/>
      <w:bookmarkEnd w:id="0"/>
      <w:r w:rsidDel="00000000" w:rsidR="00000000" w:rsidRPr="00000000">
        <w:rPr>
          <w:rtl w:val="0"/>
        </w:rPr>
        <w:t xml:space="preserve">Synthesis of Behavioral Economics, Strategic Persuasion, and Digital Content Authenticity</w:t>
      </w:r>
    </w:p>
    <w:p w:rsidR="00000000" w:rsidDel="00000000" w:rsidP="00000000" w:rsidRDefault="00000000" w:rsidRPr="00000000" w14:paraId="00000002">
      <w:pPr>
        <w:pStyle w:val="Heading4"/>
        <w:rPr/>
      </w:pPr>
      <w:bookmarkStart w:colFirst="0" w:colLast="0" w:name="_f9pxt7irq6ko"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This document synthesizes critical insights from multiple specialized domains, including behavioral economics, sales copywriting, marketing operations, and digital linguistics.Key findings include the significant impact of  </w:t>
      </w:r>
      <w:r w:rsidDel="00000000" w:rsidR="00000000" w:rsidRPr="00000000">
        <w:rPr>
          <w:b w:val="1"/>
          <w:bCs w:val="1"/>
          <w:rtl w:val="0"/>
        </w:rPr>
        <w:t xml:space="preserve">loss aversion</w:t>
      </w:r>
      <w:r w:rsidDel="00000000" w:rsidR="00000000" w:rsidRPr="00000000">
        <w:rPr>
          <w:rtl w:val="0"/>
        </w:rPr>
        <w:t xml:space="preserve">  on household financial decisions, where individuals prioritize precautionary savings (net worth) over term-life insurance due to "narrow framing." In the realm of persuasion, successful outcomes are driven by "Deep Structure" frameworks—such as the  </w:t>
      </w:r>
      <w:r w:rsidDel="00000000" w:rsidR="00000000" w:rsidRPr="00000000">
        <w:rPr>
          <w:b w:val="1"/>
          <w:bCs w:val="1"/>
          <w:rtl w:val="0"/>
        </w:rPr>
        <w:t xml:space="preserve">P.A.S.T.O.R. framework</w:t>
      </w:r>
      <w:r w:rsidDel="00000000" w:rsidR="00000000" w:rsidRPr="00000000">
        <w:rPr>
          <w:rtl w:val="0"/>
        </w:rPr>
        <w:t xml:space="preserve">  and the identification of  </w:t>
      </w:r>
      <w:r w:rsidDel="00000000" w:rsidR="00000000" w:rsidRPr="00000000">
        <w:rPr>
          <w:b w:val="1"/>
          <w:bCs w:val="1"/>
          <w:rtl w:val="0"/>
        </w:rPr>
        <w:t xml:space="preserve">Big Idea types</w:t>
      </w:r>
      <w:r w:rsidDel="00000000" w:rsidR="00000000" w:rsidRPr="00000000">
        <w:rPr>
          <w:rtl w:val="0"/>
        </w:rPr>
        <w:t xml:space="preserve">  (Urgent Problem, 10X Opportunity, Imminent Prediction)—rather than superficial word choice.Furthermore, the document outlines the operational benchmarks for scaling service businesses, emphasizing the transition from price-driven to  </w:t>
      </w:r>
      <w:r w:rsidDel="00000000" w:rsidR="00000000" w:rsidRPr="00000000">
        <w:rPr>
          <w:b w:val="1"/>
          <w:bCs w:val="1"/>
          <w:rtl w:val="0"/>
        </w:rPr>
        <w:t xml:space="preserve">value-driven models</w:t>
      </w:r>
      <w:r w:rsidDel="00000000" w:rsidR="00000000" w:rsidRPr="00000000">
        <w:rPr>
          <w:rtl w:val="0"/>
        </w:rPr>
        <w:t xml:space="preserve"> . Finally, an analysis of digital authenticity reveals a growing tension between AI-generated content and human writing, identifying specific linguistic markers (e.g., "rule of three," "predictable syntax") and the challenges neurodivergent writers face when their structured, grammatical styles are misidentified as machine-generated.</w:t>
      </w:r>
    </w:p>
    <w:p w:rsidR="00000000" w:rsidDel="00000000" w:rsidP="00000000" w:rsidRDefault="00000000" w:rsidRPr="00000000" w14:paraId="00000004">
      <w:pPr>
        <w:pStyle w:val="Heading4"/>
        <w:rPr/>
      </w:pPr>
      <w:bookmarkStart w:colFirst="0" w:colLast="0" w:name="_b1ww1zxtx1rb" w:id="2"/>
      <w:bookmarkEnd w:id="2"/>
      <w:r w:rsidDel="00000000" w:rsidR="00000000" w:rsidRPr="00000000">
        <w:rPr>
          <w:rtl w:val="0"/>
        </w:rPr>
        <w:t xml:space="preserve">1. Behavioral Economics: Loss Aversion and Financial Choice</w:t>
      </w:r>
    </w:p>
    <w:p w:rsidR="00000000" w:rsidDel="00000000" w:rsidP="00000000" w:rsidRDefault="00000000" w:rsidRPr="00000000" w14:paraId="00000005">
      <w:pPr>
        <w:rPr/>
      </w:pPr>
      <w:r w:rsidDel="00000000" w:rsidR="00000000" w:rsidRPr="00000000">
        <w:rPr>
          <w:rtl w:val="0"/>
        </w:rPr>
        <w:t xml:space="preserve">Research into household portfolio choices indicates that behavioral biases, specifically loss aversion, fundamentally alter how individuals approach insurance and savings.</w:t>
      </w:r>
    </w:p>
    <w:p w:rsidR="00000000" w:rsidDel="00000000" w:rsidP="00000000" w:rsidRDefault="00000000" w:rsidRPr="00000000" w14:paraId="00000006">
      <w:pPr>
        <w:pStyle w:val="Heading5"/>
        <w:rPr/>
      </w:pPr>
      <w:bookmarkStart w:colFirst="0" w:colLast="0" w:name="_gqnmj89le4ig" w:id="3"/>
      <w:bookmarkEnd w:id="3"/>
      <w:r w:rsidDel="00000000" w:rsidR="00000000" w:rsidRPr="00000000">
        <w:rPr>
          <w:rtl w:val="0"/>
        </w:rPr>
        <w:t xml:space="preserve">The Impact of Loss Aversion ( $\lambda$ )</w:t>
      </w:r>
    </w:p>
    <w:p w:rsidR="00000000" w:rsidDel="00000000" w:rsidP="00000000" w:rsidRDefault="00000000" w:rsidRPr="00000000" w14:paraId="00000007">
      <w:pPr>
        <w:rPr/>
      </w:pPr>
      <w:r w:rsidDel="00000000" w:rsidR="00000000" w:rsidRPr="00000000">
        <w:rPr>
          <w:rtl w:val="0"/>
        </w:rPr>
        <w:t xml:space="preserve">Loss aversion refers to the tendency for individuals to be more sensitive to losses than to equivalent gains.</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rtl w:val="0"/>
        </w:rPr>
        <w:t xml:space="preserve">Insurance Uptake:</w:t>
      </w:r>
      <w:r w:rsidDel="00000000" w:rsidR="00000000" w:rsidRPr="00000000">
        <w:rPr>
          <w:rtl w:val="0"/>
        </w:rPr>
        <w:t xml:space="preserve">  Loss-averse individuals are significantly less likely to hold term-life insurance, supplemental disability insurance (SDI), and private health insurance. This is often termed "penny wise and pound foolish" behavior, as the immediate cost of premiums is viewed as a loss.</w:t>
      </w:r>
    </w:p>
    <w:p w:rsidR="00000000" w:rsidDel="00000000" w:rsidP="00000000" w:rsidRDefault="00000000" w:rsidRPr="00000000" w14:paraId="00000009">
      <w:pPr>
        <w:numPr>
          <w:ilvl w:val="0"/>
          <w:numId w:val="4"/>
        </w:numPr>
        <w:ind w:left="720" w:hanging="360"/>
        <w:rPr>
          <w:b w:val="1"/>
          <w:bCs w:val="1"/>
        </w:rPr>
      </w:pPr>
      <w:r w:rsidDel="00000000" w:rsidR="00000000" w:rsidRPr="00000000">
        <w:rPr>
          <w:b w:val="1"/>
          <w:bCs w:val="1"/>
          <w:rtl w:val="0"/>
        </w:rPr>
        <w:t xml:space="preserve">Term-Life vs. Whole-Life:</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Term-life insurance</w:t>
      </w:r>
      <w:r w:rsidDel="00000000" w:rsidR="00000000" w:rsidRPr="00000000">
        <w:rPr>
          <w:rtl w:val="0"/>
        </w:rPr>
        <w:t xml:space="preserve">  is often avoided by loss-averse individuals because if they survive the term, the premiums paid are perceived as a total loss.</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Whole-life insurance</w:t>
      </w:r>
      <w:r w:rsidDel="00000000" w:rsidR="00000000" w:rsidRPr="00000000">
        <w:rPr>
          <w:rtl w:val="0"/>
        </w:rPr>
        <w:t xml:space="preserve">  sees higher uptake among this group (an estimated 6.60% increase in probability per unit of loss aversion) because it contains a "savings element" or cash value that can be recovered or borrowed against, reducing the perceived potential for loss.</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Precautionary Savings:</w:t>
      </w:r>
      <w:r w:rsidDel="00000000" w:rsidR="00000000" w:rsidRPr="00000000">
        <w:rPr>
          <w:rtl w:val="0"/>
        </w:rPr>
        <w:t xml:space="preserve">  There is a robust positive correlation between loss aversion and a household's net worth. Loss-averse individuals tend to hold higher levels of non-risky assets as a form of precautionary saving.</w:t>
      </w:r>
    </w:p>
    <w:p w:rsidR="00000000" w:rsidDel="00000000" w:rsidP="00000000" w:rsidRDefault="00000000" w:rsidRPr="00000000" w14:paraId="0000000D">
      <w:pPr>
        <w:pStyle w:val="Heading5"/>
        <w:rPr/>
      </w:pPr>
      <w:bookmarkStart w:colFirst="0" w:colLast="0" w:name="_iew0u5aqv4qf" w:id="4"/>
      <w:bookmarkEnd w:id="4"/>
      <w:r w:rsidDel="00000000" w:rsidR="00000000" w:rsidRPr="00000000">
        <w:rPr>
          <w:rtl w:val="0"/>
        </w:rPr>
        <w:t xml:space="preserve">Heuristics and Framing</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Narrow Framing:</w:t>
      </w:r>
      <w:r w:rsidDel="00000000" w:rsidR="00000000" w:rsidRPr="00000000">
        <w:rPr>
          <w:rtl w:val="0"/>
        </w:rPr>
        <w:t xml:space="preserve">  Boundedly rational consumers evaluate insurance in isolation ("gain vs. loss") rather than as a diversification tool for their entire portfolio.</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Availability Heuristics:</w:t>
      </w:r>
      <w:r w:rsidDel="00000000" w:rsidR="00000000" w:rsidRPr="00000000">
        <w:rPr>
          <w:rtl w:val="0"/>
        </w:rPr>
        <w:t xml:space="preserve">  Willingness to pay for insurance increases when a specific accident is vivid or easily recalled.</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Framing Effects:</w:t>
      </w:r>
      <w:r w:rsidDel="00000000" w:rsidR="00000000" w:rsidRPr="00000000">
        <w:rPr>
          <w:rtl w:val="0"/>
        </w:rPr>
        <w:t xml:space="preserve">  Consumers frequently prefer more expensive "return-of-premium" plans over actuarially superior cheaper plans because of the "guarantee" or "rebate" frame.</w:t>
      </w:r>
    </w:p>
    <w:p w:rsidR="00000000" w:rsidDel="00000000" w:rsidP="00000000" w:rsidRDefault="00000000" w:rsidRPr="00000000" w14:paraId="00000011">
      <w:pPr>
        <w:pStyle w:val="Heading4"/>
        <w:rPr/>
      </w:pPr>
      <w:bookmarkStart w:colFirst="0" w:colLast="0" w:name="_indup4opfz7b" w:id="5"/>
      <w:bookmarkEnd w:id="5"/>
      <w:r w:rsidDel="00000000" w:rsidR="00000000" w:rsidRPr="00000000">
        <w:rPr>
          <w:rtl w:val="0"/>
        </w:rPr>
        <w:t xml:space="preserve">2. Strategic Persuasion: The Architecture of Sales Copy</w:t>
      </w:r>
    </w:p>
    <w:p w:rsidR="00000000" w:rsidDel="00000000" w:rsidP="00000000" w:rsidRDefault="00000000" w:rsidRPr="00000000" w14:paraId="00000012">
      <w:pPr>
        <w:rPr/>
      </w:pPr>
      <w:r w:rsidDel="00000000" w:rsidR="00000000" w:rsidRPr="00000000">
        <w:rPr>
          <w:rtl w:val="0"/>
        </w:rPr>
        <w:t xml:space="preserve">Effective persuasion relies on underlying psychological structures rather than "power words" like "magic" or "free."</w:t>
      </w:r>
    </w:p>
    <w:p w:rsidR="00000000" w:rsidDel="00000000" w:rsidP="00000000" w:rsidRDefault="00000000" w:rsidRPr="00000000" w14:paraId="00000013">
      <w:pPr>
        <w:pStyle w:val="Heading5"/>
        <w:rPr/>
      </w:pPr>
      <w:bookmarkStart w:colFirst="0" w:colLast="0" w:name="_z7dskjl6wegy" w:id="6"/>
      <w:bookmarkEnd w:id="6"/>
      <w:r w:rsidDel="00000000" w:rsidR="00000000" w:rsidRPr="00000000">
        <w:rPr>
          <w:rtl w:val="0"/>
        </w:rPr>
        <w:t xml:space="preserve">The P.A.S.T.O.R. Framework</w:t>
      </w:r>
    </w:p>
    <w:p w:rsidR="00000000" w:rsidDel="00000000" w:rsidP="00000000" w:rsidRDefault="00000000" w:rsidRPr="00000000" w14:paraId="00000014">
      <w:pPr>
        <w:rPr/>
      </w:pPr>
      <w:r w:rsidDel="00000000" w:rsidR="00000000" w:rsidRPr="00000000">
        <w:rPr>
          <w:rtl w:val="0"/>
        </w:rPr>
        <w:t xml:space="preserve">This framework organizes sales messages into a logical progression designed to build trust and elicit a response:| Letter | Component | Description || ------ | ------ | ------ || </w:t>
      </w:r>
      <w:r w:rsidDel="00000000" w:rsidR="00000000" w:rsidRPr="00000000">
        <w:rPr>
          <w:b w:val="1"/>
          <w:bCs w:val="1"/>
          <w:rtl w:val="0"/>
        </w:rPr>
        <w:t xml:space="preserve">P</w:t>
      </w:r>
      <w:r w:rsidDel="00000000" w:rsidR="00000000" w:rsidRPr="00000000">
        <w:rPr>
          <w:rtl w:val="0"/>
        </w:rPr>
        <w:t xml:space="preserve"> | </w:t>
      </w:r>
      <w:r w:rsidDel="00000000" w:rsidR="00000000" w:rsidRPr="00000000">
        <w:rPr>
          <w:b w:val="1"/>
          <w:bCs w:val="1"/>
          <w:rtl w:val="0"/>
        </w:rPr>
        <w:t xml:space="preserve">Person / Problem / Pain</w:t>
      </w:r>
      <w:r w:rsidDel="00000000" w:rsidR="00000000" w:rsidRPr="00000000">
        <w:rPr>
          <w:rtl w:val="0"/>
        </w:rPr>
        <w:t xml:space="preserve"> | Identify the specific target, their core challenge, and the psychological pain it causes. || </w:t>
      </w:r>
      <w:r w:rsidDel="00000000" w:rsidR="00000000" w:rsidRPr="00000000">
        <w:rPr>
          <w:b w:val="1"/>
          <w:bCs w:val="1"/>
          <w:rtl w:val="0"/>
        </w:rPr>
        <w:t xml:space="preserve">A</w:t>
      </w:r>
      <w:r w:rsidDel="00000000" w:rsidR="00000000" w:rsidRPr="00000000">
        <w:rPr>
          <w:rtl w:val="0"/>
        </w:rPr>
        <w:t xml:space="preserve"> | </w:t>
      </w:r>
      <w:r w:rsidDel="00000000" w:rsidR="00000000" w:rsidRPr="00000000">
        <w:rPr>
          <w:b w:val="1"/>
          <w:bCs w:val="1"/>
          <w:rtl w:val="0"/>
        </w:rPr>
        <w:t xml:space="preserve">Amplify / Aspiration</w:t>
      </w:r>
      <w:r w:rsidDel="00000000" w:rsidR="00000000" w:rsidRPr="00000000">
        <w:rPr>
          <w:rtl w:val="0"/>
        </w:rPr>
        <w:t xml:space="preserve"> | Highlight the consequences of inaction (cost of waiting) vs. the desired future state. || </w:t>
      </w:r>
      <w:r w:rsidDel="00000000" w:rsidR="00000000" w:rsidRPr="00000000">
        <w:rPr>
          <w:b w:val="1"/>
          <w:bCs w:val="1"/>
          <w:rtl w:val="0"/>
        </w:rPr>
        <w:t xml:space="preserve">S</w:t>
      </w:r>
      <w:r w:rsidDel="00000000" w:rsidR="00000000" w:rsidRPr="00000000">
        <w:rPr>
          <w:rtl w:val="0"/>
        </w:rPr>
        <w:t xml:space="preserve"> | </w:t>
      </w:r>
      <w:r w:rsidDel="00000000" w:rsidR="00000000" w:rsidRPr="00000000">
        <w:rPr>
          <w:b w:val="1"/>
          <w:bCs w:val="1"/>
          <w:rtl w:val="0"/>
        </w:rPr>
        <w:t xml:space="preserve">Story / Solution / System</w:t>
      </w:r>
      <w:r w:rsidDel="00000000" w:rsidR="00000000" w:rsidRPr="00000000">
        <w:rPr>
          <w:rtl w:val="0"/>
        </w:rPr>
        <w:t xml:space="preserve"> | Relate how the answer was discovered and the repeatable system used to achieve it. || </w:t>
      </w:r>
      <w:r w:rsidDel="00000000" w:rsidR="00000000" w:rsidRPr="00000000">
        <w:rPr>
          <w:b w:val="1"/>
          <w:bCs w:val="1"/>
          <w:rtl w:val="0"/>
        </w:rPr>
        <w:t xml:space="preserve">T</w:t>
      </w:r>
      <w:r w:rsidDel="00000000" w:rsidR="00000000" w:rsidRPr="00000000">
        <w:rPr>
          <w:rtl w:val="0"/>
        </w:rPr>
        <w:t xml:space="preserve"> | </w:t>
      </w:r>
      <w:r w:rsidDel="00000000" w:rsidR="00000000" w:rsidRPr="00000000">
        <w:rPr>
          <w:b w:val="1"/>
          <w:bCs w:val="1"/>
          <w:rtl w:val="0"/>
        </w:rPr>
        <w:t xml:space="preserve">Transformation / Testimony</w:t>
      </w:r>
      <w:r w:rsidDel="00000000" w:rsidR="00000000" w:rsidRPr="00000000">
        <w:rPr>
          <w:rtl w:val="0"/>
        </w:rPr>
        <w:t xml:space="preserve"> | Provide proof of results and real-world success stories. || </w:t>
      </w:r>
      <w:r w:rsidDel="00000000" w:rsidR="00000000" w:rsidRPr="00000000">
        <w:rPr>
          <w:b w:val="1"/>
          <w:bCs w:val="1"/>
          <w:rtl w:val="0"/>
        </w:rPr>
        <w:t xml:space="preserve">O</w:t>
      </w:r>
      <w:r w:rsidDel="00000000" w:rsidR="00000000" w:rsidRPr="00000000">
        <w:rPr>
          <w:rtl w:val="0"/>
        </w:rPr>
        <w:t xml:space="preserve"> | </w:t>
      </w:r>
      <w:r w:rsidDel="00000000" w:rsidR="00000000" w:rsidRPr="00000000">
        <w:rPr>
          <w:b w:val="1"/>
          <w:bCs w:val="1"/>
          <w:rtl w:val="0"/>
        </w:rPr>
        <w:t xml:space="preserve">Offer</w:t>
      </w:r>
      <w:r w:rsidDel="00000000" w:rsidR="00000000" w:rsidRPr="00000000">
        <w:rPr>
          <w:rtl w:val="0"/>
        </w:rPr>
        <w:t xml:space="preserve"> | Focus on benefits rather than just deliverables (e.g., what they get, not just what is in the box). || </w:t>
      </w:r>
      <w:r w:rsidDel="00000000" w:rsidR="00000000" w:rsidRPr="00000000">
        <w:rPr>
          <w:b w:val="1"/>
          <w:bCs w:val="1"/>
          <w:rtl w:val="0"/>
        </w:rPr>
        <w:t xml:space="preserve">R</w:t>
      </w:r>
      <w:r w:rsidDel="00000000" w:rsidR="00000000" w:rsidRPr="00000000">
        <w:rPr>
          <w:rtl w:val="0"/>
        </w:rPr>
        <w:t xml:space="preserve"> | </w:t>
      </w:r>
      <w:r w:rsidDel="00000000" w:rsidR="00000000" w:rsidRPr="00000000">
        <w:rPr>
          <w:b w:val="1"/>
          <w:bCs w:val="1"/>
          <w:rtl w:val="0"/>
        </w:rPr>
        <w:t xml:space="preserve">Response</w:t>
      </w:r>
      <w:r w:rsidDel="00000000" w:rsidR="00000000" w:rsidRPr="00000000">
        <w:rPr>
          <w:rtl w:val="0"/>
        </w:rPr>
        <w:t xml:space="preserve"> | A direct request for the prospect to take action (buy now). |</w:t>
      </w:r>
    </w:p>
    <w:p w:rsidR="00000000" w:rsidDel="00000000" w:rsidP="00000000" w:rsidRDefault="00000000" w:rsidRPr="00000000" w14:paraId="00000015">
      <w:pPr>
        <w:pStyle w:val="Heading5"/>
        <w:rPr/>
      </w:pPr>
      <w:bookmarkStart w:colFirst="0" w:colLast="0" w:name="_6ey2k5j6whzo" w:id="7"/>
      <w:bookmarkEnd w:id="7"/>
      <w:r w:rsidDel="00000000" w:rsidR="00000000" w:rsidRPr="00000000">
        <w:rPr>
          <w:rtl w:val="0"/>
        </w:rPr>
        <w:t xml:space="preserve">The "Deep Structure" of Big Ideas</w:t>
      </w:r>
    </w:p>
    <w:p w:rsidR="00000000" w:rsidDel="00000000" w:rsidP="00000000" w:rsidRDefault="00000000" w:rsidRPr="00000000" w14:paraId="00000016">
      <w:pPr>
        <w:rPr/>
      </w:pPr>
      <w:r w:rsidDel="00000000" w:rsidR="00000000" w:rsidRPr="00000000">
        <w:rPr>
          <w:rtl w:val="0"/>
        </w:rPr>
        <w:t xml:space="preserve">Success in long-form copy is categorized into three primary "Big Idea" types:</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Urgent Problem:</w:t>
      </w:r>
      <w:r w:rsidDel="00000000" w:rsidR="00000000" w:rsidRPr="00000000">
        <w:rPr>
          <w:rtl w:val="0"/>
        </w:rPr>
        <w:t xml:space="preserve">  Solving a nagging, immediate issue that other solutions have failed to resolve.</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10X Opportunity:</w:t>
      </w:r>
      <w:r w:rsidDel="00000000" w:rsidR="00000000" w:rsidRPr="00000000">
        <w:rPr>
          <w:rtl w:val="0"/>
        </w:rPr>
        <w:t xml:space="preserve">  Introducing a new way to fulfill a desire that is significantly better than current methods.</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Imminent Prediction:</w:t>
      </w:r>
      <w:r w:rsidDel="00000000" w:rsidR="00000000" w:rsidRPr="00000000">
        <w:rPr>
          <w:rtl w:val="0"/>
        </w:rPr>
        <w:t xml:space="preserve">  Basing the need for a product on a specific, approaching change in the marketplace or environment.</w:t>
      </w:r>
    </w:p>
    <w:p w:rsidR="00000000" w:rsidDel="00000000" w:rsidP="00000000" w:rsidRDefault="00000000" w:rsidRPr="00000000" w14:paraId="0000001A">
      <w:pPr>
        <w:pStyle w:val="Heading5"/>
        <w:rPr/>
      </w:pPr>
      <w:bookmarkStart w:colFirst="0" w:colLast="0" w:name="_afyvl9vczs5i" w:id="8"/>
      <w:bookmarkEnd w:id="8"/>
      <w:r w:rsidDel="00000000" w:rsidR="00000000" w:rsidRPr="00000000">
        <w:rPr>
          <w:rtl w:val="0"/>
        </w:rPr>
        <w:t xml:space="preserve">The UPSEEN Test</w:t>
      </w:r>
    </w:p>
    <w:p w:rsidR="00000000" w:rsidDel="00000000" w:rsidP="00000000" w:rsidRDefault="00000000" w:rsidRPr="00000000" w14:paraId="0000001B">
      <w:pPr>
        <w:rPr/>
      </w:pPr>
      <w:r w:rsidDel="00000000" w:rsidR="00000000" w:rsidRPr="00000000">
        <w:rPr>
          <w:rtl w:val="0"/>
        </w:rPr>
        <w:t xml:space="preserve">A diagnostic tool used to strengthen a "Big Idea" before deployment, ensuring the message is powerful enough to beat existing controls or competitors.</w:t>
      </w:r>
    </w:p>
    <w:p w:rsidR="00000000" w:rsidDel="00000000" w:rsidP="00000000" w:rsidRDefault="00000000" w:rsidRPr="00000000" w14:paraId="0000001C">
      <w:pPr>
        <w:pStyle w:val="Heading4"/>
        <w:rPr/>
      </w:pPr>
      <w:bookmarkStart w:colFirst="0" w:colLast="0" w:name="_f9xw0j15e70i" w:id="9"/>
      <w:bookmarkEnd w:id="9"/>
      <w:r w:rsidDel="00000000" w:rsidR="00000000" w:rsidRPr="00000000">
        <w:rPr>
          <w:rtl w:val="0"/>
        </w:rPr>
        <w:t xml:space="preserve">3. Marketing Operations and Scaling Models</w:t>
      </w:r>
    </w:p>
    <w:p w:rsidR="00000000" w:rsidDel="00000000" w:rsidP="00000000" w:rsidRDefault="00000000" w:rsidRPr="00000000" w14:paraId="0000001D">
      <w:pPr>
        <w:rPr/>
      </w:pPr>
      <w:r w:rsidDel="00000000" w:rsidR="00000000" w:rsidRPr="00000000">
        <w:rPr>
          <w:rtl w:val="0"/>
        </w:rPr>
        <w:t xml:space="preserve">To scale service businesses effectively, companies must move beyond word-of-mouth and adopt value-driven systems.</w:t>
      </w:r>
    </w:p>
    <w:p w:rsidR="00000000" w:rsidDel="00000000" w:rsidP="00000000" w:rsidRDefault="00000000" w:rsidRPr="00000000" w14:paraId="0000001E">
      <w:pPr>
        <w:pStyle w:val="Heading5"/>
        <w:rPr/>
      </w:pPr>
      <w:bookmarkStart w:colFirst="0" w:colLast="0" w:name="_8mcd1nwbkq17" w:id="10"/>
      <w:bookmarkEnd w:id="10"/>
      <w:r w:rsidDel="00000000" w:rsidR="00000000" w:rsidRPr="00000000">
        <w:rPr>
          <w:rtl w:val="0"/>
        </w:rPr>
        <w:t xml:space="preserve">Value-Driven vs. Price-Driven Businesses</w:t>
      </w:r>
    </w:p>
    <w:p w:rsidR="00000000" w:rsidDel="00000000" w:rsidP="00000000" w:rsidRDefault="00000000" w:rsidRPr="00000000" w14:paraId="0000001F">
      <w:pPr>
        <w:numPr>
          <w:ilvl w:val="0"/>
          <w:numId w:val="8"/>
        </w:numPr>
        <w:ind w:left="720" w:hanging="360"/>
        <w:rPr>
          <w:u w:val="none"/>
        </w:rPr>
      </w:pPr>
      <w:r w:rsidDel="00000000" w:rsidR="00000000" w:rsidRPr="00000000">
        <w:rPr>
          <w:b w:val="1"/>
          <w:bCs w:val="1"/>
          <w:rtl w:val="0"/>
        </w:rPr>
        <w:t xml:space="preserve">Price-Driven:</w:t>
      </w:r>
      <w:r w:rsidDel="00000000" w:rsidR="00000000" w:rsidRPr="00000000">
        <w:rPr>
          <w:rtl w:val="0"/>
        </w:rPr>
        <w:t xml:space="preserve">  Commoditized services (e.g., "we edit videos") where the lowest price usually wins, leading to thin margins and high failure rates.</w:t>
      </w:r>
    </w:p>
    <w:p w:rsidR="00000000" w:rsidDel="00000000" w:rsidP="00000000" w:rsidRDefault="00000000" w:rsidRPr="00000000" w14:paraId="00000020">
      <w:pPr>
        <w:numPr>
          <w:ilvl w:val="0"/>
          <w:numId w:val="8"/>
        </w:numPr>
        <w:ind w:left="720" w:hanging="360"/>
        <w:rPr>
          <w:u w:val="none"/>
        </w:rPr>
      </w:pPr>
      <w:r w:rsidDel="00000000" w:rsidR="00000000" w:rsidRPr="00000000">
        <w:rPr>
          <w:b w:val="1"/>
          <w:bCs w:val="1"/>
          <w:rtl w:val="0"/>
        </w:rPr>
        <w:t xml:space="preserve">Value-Driven:</w:t>
      </w:r>
      <w:r w:rsidDel="00000000" w:rsidR="00000000" w:rsidRPr="00000000">
        <w:rPr>
          <w:rtl w:val="0"/>
        </w:rPr>
        <w:t xml:space="preserve">  Focused on a "Killer Offer" that solves a high-value problem. Value is determined by the "Dream Outcome" and the "Likelihood of Achievement" versus the "Time Delay" and "Effort &amp; Sacrifice."</w:t>
      </w:r>
    </w:p>
    <w:p w:rsidR="00000000" w:rsidDel="00000000" w:rsidP="00000000" w:rsidRDefault="00000000" w:rsidRPr="00000000" w14:paraId="00000021">
      <w:pPr>
        <w:pStyle w:val="Heading5"/>
        <w:rPr/>
      </w:pPr>
      <w:bookmarkStart w:colFirst="0" w:colLast="0" w:name="_n48xjxn49v0z" w:id="11"/>
      <w:bookmarkEnd w:id="11"/>
      <w:r w:rsidDel="00000000" w:rsidR="00000000" w:rsidRPr="00000000">
        <w:rPr>
          <w:rtl w:val="0"/>
        </w:rPr>
        <w:t xml:space="preserve">Funnel Benchmarks and Appointment Setting</w:t>
      </w:r>
    </w:p>
    <w:p w:rsidR="00000000" w:rsidDel="00000000" w:rsidP="00000000" w:rsidRDefault="00000000" w:rsidRPr="00000000" w14:paraId="00000022">
      <w:pPr>
        <w:rPr/>
      </w:pPr>
      <w:r w:rsidDel="00000000" w:rsidR="00000000" w:rsidRPr="00000000">
        <w:rPr>
          <w:rtl w:val="0"/>
        </w:rPr>
        <w:t xml:space="preserve">An optimized marketing funnel should aim for a  </w:t>
      </w:r>
      <w:r w:rsidDel="00000000" w:rsidR="00000000" w:rsidRPr="00000000">
        <w:rPr>
          <w:b w:val="1"/>
          <w:bCs w:val="1"/>
          <w:rtl w:val="0"/>
        </w:rPr>
        <w:t xml:space="preserve">30%+ lead-to-appointment conversion rate</w:t>
      </w:r>
      <w:r w:rsidDel="00000000" w:rsidR="00000000" w:rsidRPr="00000000">
        <w:rPr>
          <w:rtl w:val="0"/>
        </w:rPr>
        <w:t xml:space="preserve"> .</w:t>
      </w:r>
    </w:p>
    <w:p w:rsidR="00000000" w:rsidDel="00000000" w:rsidP="00000000" w:rsidRDefault="00000000" w:rsidRPr="00000000" w14:paraId="00000023">
      <w:pPr>
        <w:numPr>
          <w:ilvl w:val="0"/>
          <w:numId w:val="6"/>
        </w:numPr>
        <w:ind w:left="720" w:hanging="360"/>
        <w:rPr>
          <w:u w:val="none"/>
        </w:rPr>
      </w:pPr>
      <w:r w:rsidDel="00000000" w:rsidR="00000000" w:rsidRPr="00000000">
        <w:rPr>
          <w:b w:val="1"/>
          <w:bCs w:val="1"/>
          <w:rtl w:val="0"/>
        </w:rPr>
        <w:t xml:space="preserve">Self-Booked Appointments:</w:t>
      </w:r>
      <w:r w:rsidDel="00000000" w:rsidR="00000000" w:rsidRPr="00000000">
        <w:rPr>
          <w:rtl w:val="0"/>
        </w:rPr>
        <w:t xml:space="preserve">  Approximately 60% of appointments should come from prospects self-scheduling through an online sales funnel (e.g., Ad  $\rightarrow$  VSL  $\rightarrow$  Calendar).</w:t>
      </w:r>
    </w:p>
    <w:p w:rsidR="00000000" w:rsidDel="00000000" w:rsidP="00000000" w:rsidRDefault="00000000" w:rsidRPr="00000000" w14:paraId="00000024">
      <w:pPr>
        <w:numPr>
          <w:ilvl w:val="0"/>
          <w:numId w:val="6"/>
        </w:numPr>
        <w:ind w:left="720" w:hanging="360"/>
        <w:rPr>
          <w:u w:val="none"/>
        </w:rPr>
      </w:pPr>
      <w:r w:rsidDel="00000000" w:rsidR="00000000" w:rsidRPr="00000000">
        <w:rPr>
          <w:b w:val="1"/>
          <w:bCs w:val="1"/>
          <w:rtl w:val="0"/>
        </w:rPr>
        <w:t xml:space="preserve">Nurturing/Follow-up:</w:t>
      </w:r>
      <w:r w:rsidDel="00000000" w:rsidR="00000000" w:rsidRPr="00000000">
        <w:rPr>
          <w:rtl w:val="0"/>
        </w:rPr>
        <w:t xml:space="preserve">  The remaining 40% of appointments are generated through automated and manual follow-up (Inbound Appointment Setters).</w:t>
      </w:r>
    </w:p>
    <w:p w:rsidR="00000000" w:rsidDel="00000000" w:rsidP="00000000" w:rsidRDefault="00000000" w:rsidRPr="00000000" w14:paraId="00000025">
      <w:pPr>
        <w:numPr>
          <w:ilvl w:val="0"/>
          <w:numId w:val="6"/>
        </w:numPr>
        <w:ind w:left="720" w:hanging="360"/>
        <w:rPr>
          <w:u w:val="none"/>
        </w:rPr>
      </w:pPr>
      <w:r w:rsidDel="00000000" w:rsidR="00000000" w:rsidRPr="00000000">
        <w:rPr>
          <w:b w:val="1"/>
          <w:bCs w:val="1"/>
          <w:rtl w:val="0"/>
        </w:rPr>
        <w:t xml:space="preserve">Show-up Rate Optimization:</w:t>
      </w:r>
      <w:r w:rsidDel="00000000" w:rsidR="00000000" w:rsidRPr="00000000">
        <w:rPr>
          <w:rtl w:val="0"/>
        </w:rPr>
        <w:t xml:space="preserve">  Low show-up rates are often caused by failing to sell the prospect on the  </w:t>
      </w:r>
      <w:r w:rsidDel="00000000" w:rsidR="00000000" w:rsidRPr="00000000">
        <w:rPr>
          <w:i w:val="1"/>
          <w:iCs w:val="1"/>
          <w:rtl w:val="0"/>
        </w:rPr>
        <w:t xml:space="preserve">value</w:t>
      </w:r>
      <w:r w:rsidDel="00000000" w:rsidR="00000000" w:rsidRPr="00000000">
        <w:rPr>
          <w:rtl w:val="0"/>
        </w:rPr>
        <w:t xml:space="preserve">  of the call itself.</w:t>
      </w:r>
    </w:p>
    <w:p w:rsidR="00000000" w:rsidDel="00000000" w:rsidP="00000000" w:rsidRDefault="00000000" w:rsidRPr="00000000" w14:paraId="00000026">
      <w:pPr>
        <w:pStyle w:val="Heading5"/>
        <w:rPr/>
      </w:pPr>
      <w:bookmarkStart w:colFirst="0" w:colLast="0" w:name="_fer7wv5mw2nr" w:id="12"/>
      <w:bookmarkEnd w:id="12"/>
      <w:r w:rsidDel="00000000" w:rsidR="00000000" w:rsidRPr="00000000">
        <w:rPr>
          <w:rtl w:val="0"/>
        </w:rPr>
        <w:t xml:space="preserve">The Psychology of the Sales Call</w:t>
      </w:r>
    </w:p>
    <w:p w:rsidR="00000000" w:rsidDel="00000000" w:rsidP="00000000" w:rsidRDefault="00000000" w:rsidRPr="00000000" w14:paraId="00000027">
      <w:pPr>
        <w:rPr/>
      </w:pPr>
      <w:r w:rsidDel="00000000" w:rsidR="00000000" w:rsidRPr="00000000">
        <w:rPr>
          <w:rtl w:val="0"/>
        </w:rPr>
        <w:t xml:space="preserve">Sales objections are often rooted in psychological biases:</w:t>
      </w:r>
    </w:p>
    <w:p w:rsidR="00000000" w:rsidDel="00000000" w:rsidP="00000000" w:rsidRDefault="00000000" w:rsidRPr="00000000" w14:paraId="00000028">
      <w:pPr>
        <w:numPr>
          <w:ilvl w:val="0"/>
          <w:numId w:val="5"/>
        </w:numPr>
        <w:ind w:left="720" w:hanging="360"/>
        <w:rPr>
          <w:u w:val="none"/>
        </w:rPr>
      </w:pPr>
      <w:r w:rsidDel="00000000" w:rsidR="00000000" w:rsidRPr="00000000">
        <w:rPr>
          <w:b w:val="1"/>
          <w:bCs w:val="1"/>
          <w:rtl w:val="0"/>
        </w:rPr>
        <w:t xml:space="preserve">Sunk-Cost Fallacy:</w:t>
      </w:r>
      <w:r w:rsidDel="00000000" w:rsidR="00000000" w:rsidRPr="00000000">
        <w:rPr>
          <w:rtl w:val="0"/>
        </w:rPr>
        <w:t xml:space="preserve">  Prospects continue investing in failing ventures because they have already spent resources there.</w:t>
      </w:r>
    </w:p>
    <w:p w:rsidR="00000000" w:rsidDel="00000000" w:rsidP="00000000" w:rsidRDefault="00000000" w:rsidRPr="00000000" w14:paraId="00000029">
      <w:pPr>
        <w:numPr>
          <w:ilvl w:val="0"/>
          <w:numId w:val="5"/>
        </w:numPr>
        <w:ind w:left="720" w:hanging="360"/>
        <w:rPr>
          <w:u w:val="none"/>
        </w:rPr>
      </w:pPr>
      <w:r w:rsidDel="00000000" w:rsidR="00000000" w:rsidRPr="00000000">
        <w:rPr>
          <w:b w:val="1"/>
          <w:bCs w:val="1"/>
          <w:rtl w:val="0"/>
        </w:rPr>
        <w:t xml:space="preserve">Ambiguity Bias:</w:t>
      </w:r>
      <w:r w:rsidDel="00000000" w:rsidR="00000000" w:rsidRPr="00000000">
        <w:rPr>
          <w:rtl w:val="0"/>
        </w:rPr>
        <w:t xml:space="preserve">  People prefer simple, predictable options. Complexity in a sales pitch triggers rejection.</w:t>
      </w:r>
    </w:p>
    <w:p w:rsidR="00000000" w:rsidDel="00000000" w:rsidP="00000000" w:rsidRDefault="00000000" w:rsidRPr="00000000" w14:paraId="0000002A">
      <w:pPr>
        <w:numPr>
          <w:ilvl w:val="0"/>
          <w:numId w:val="5"/>
        </w:numPr>
        <w:ind w:left="720" w:hanging="360"/>
        <w:rPr>
          <w:u w:val="none"/>
        </w:rPr>
      </w:pPr>
      <w:r w:rsidDel="00000000" w:rsidR="00000000" w:rsidRPr="00000000">
        <w:rPr>
          <w:b w:val="1"/>
          <w:bCs w:val="1"/>
          <w:rtl w:val="0"/>
        </w:rPr>
        <w:t xml:space="preserve">Cognitive Dissonance:</w:t>
      </w:r>
      <w:r w:rsidDel="00000000" w:rsidR="00000000" w:rsidRPr="00000000">
        <w:rPr>
          <w:rtl w:val="0"/>
        </w:rPr>
        <w:t xml:space="preserve">  New information that conflicts with existing beliefs causes resistance.</w:t>
      </w:r>
    </w:p>
    <w:p w:rsidR="00000000" w:rsidDel="00000000" w:rsidP="00000000" w:rsidRDefault="00000000" w:rsidRPr="00000000" w14:paraId="0000002B">
      <w:pPr>
        <w:pStyle w:val="Heading4"/>
        <w:rPr/>
      </w:pPr>
      <w:bookmarkStart w:colFirst="0" w:colLast="0" w:name="_r4d3kryq5g0x" w:id="13"/>
      <w:bookmarkEnd w:id="13"/>
      <w:r w:rsidDel="00000000" w:rsidR="00000000" w:rsidRPr="00000000">
        <w:rPr>
          <w:rtl w:val="0"/>
        </w:rPr>
        <w:t xml:space="preserve">4. Digital Authenticity: Identifying AI vs. Human Writing</w:t>
      </w:r>
    </w:p>
    <w:p w:rsidR="00000000" w:rsidDel="00000000" w:rsidP="00000000" w:rsidRDefault="00000000" w:rsidRPr="00000000" w14:paraId="0000002C">
      <w:pPr>
        <w:rPr/>
      </w:pPr>
      <w:r w:rsidDel="00000000" w:rsidR="00000000" w:rsidRPr="00000000">
        <w:rPr>
          <w:rtl w:val="0"/>
        </w:rPr>
        <w:t xml:space="preserve">As Large Language Models (LLMs) become ubiquitous, specific patterns have emerged that distinguish machine-generated text from human authorship.</w:t>
      </w:r>
    </w:p>
    <w:p w:rsidR="00000000" w:rsidDel="00000000" w:rsidP="00000000" w:rsidRDefault="00000000" w:rsidRPr="00000000" w14:paraId="0000002D">
      <w:pPr>
        <w:pStyle w:val="Heading5"/>
        <w:rPr/>
      </w:pPr>
      <w:bookmarkStart w:colFirst="0" w:colLast="0" w:name="_vudzmbf5h8ly" w:id="14"/>
      <w:bookmarkEnd w:id="14"/>
      <w:r w:rsidDel="00000000" w:rsidR="00000000" w:rsidRPr="00000000">
        <w:rPr>
          <w:rtl w:val="0"/>
        </w:rPr>
        <w:t xml:space="preserve">Linguistic Markers of AI</w:t>
      </w:r>
    </w:p>
    <w:p w:rsidR="00000000" w:rsidDel="00000000" w:rsidP="00000000" w:rsidRDefault="00000000" w:rsidRPr="00000000" w14:paraId="0000002E">
      <w:pPr>
        <w:numPr>
          <w:ilvl w:val="0"/>
          <w:numId w:val="7"/>
        </w:numPr>
        <w:ind w:left="720" w:hanging="360"/>
        <w:rPr>
          <w:u w:val="none"/>
        </w:rPr>
      </w:pPr>
      <w:r w:rsidDel="00000000" w:rsidR="00000000" w:rsidRPr="00000000">
        <w:rPr>
          <w:b w:val="1"/>
          <w:bCs w:val="1"/>
          <w:rtl w:val="0"/>
        </w:rPr>
        <w:t xml:space="preserve">The "Rule of Three":</w:t>
      </w:r>
      <w:r w:rsidDel="00000000" w:rsidR="00000000" w:rsidRPr="00000000">
        <w:rPr>
          <w:rtl w:val="0"/>
        </w:rPr>
        <w:t xml:space="preserve">  LLMs over-rely on tripartite structures (e.g., "adjective, adjective, and adjective") to appear comprehensive.</w:t>
      </w:r>
    </w:p>
    <w:p w:rsidR="00000000" w:rsidDel="00000000" w:rsidP="00000000" w:rsidRDefault="00000000" w:rsidRPr="00000000" w14:paraId="0000002F">
      <w:pPr>
        <w:numPr>
          <w:ilvl w:val="0"/>
          <w:numId w:val="7"/>
        </w:numPr>
        <w:ind w:left="720" w:hanging="360"/>
        <w:rPr>
          <w:u w:val="none"/>
        </w:rPr>
      </w:pPr>
      <w:r w:rsidDel="00000000" w:rsidR="00000000" w:rsidRPr="00000000">
        <w:rPr>
          <w:b w:val="1"/>
          <w:bCs w:val="1"/>
          <w:rtl w:val="0"/>
        </w:rPr>
        <w:t xml:space="preserve">Predictable Syntax:</w:t>
      </w:r>
      <w:r w:rsidDel="00000000" w:rsidR="00000000" w:rsidRPr="00000000">
        <w:rPr>
          <w:rtl w:val="0"/>
        </w:rPr>
        <w:t xml:space="preserve">  Frequent use of negative parallelisms (e.g., "It's not X, it's Y") and phrasal templates (e.g., "As an AI language model...").</w:t>
      </w:r>
    </w:p>
    <w:p w:rsidR="00000000" w:rsidDel="00000000" w:rsidP="00000000" w:rsidRDefault="00000000" w:rsidRPr="00000000" w14:paraId="00000030">
      <w:pPr>
        <w:numPr>
          <w:ilvl w:val="0"/>
          <w:numId w:val="7"/>
        </w:numPr>
        <w:ind w:left="720" w:hanging="360"/>
        <w:rPr>
          <w:u w:val="none"/>
        </w:rPr>
      </w:pPr>
      <w:r w:rsidDel="00000000" w:rsidR="00000000" w:rsidRPr="00000000">
        <w:rPr>
          <w:b w:val="1"/>
          <w:bCs w:val="1"/>
          <w:rtl w:val="0"/>
        </w:rPr>
        <w:t xml:space="preserve">Vocabulary Oversaturation:</w:t>
      </w:r>
      <w:r w:rsidDel="00000000" w:rsidR="00000000" w:rsidRPr="00000000">
        <w:rPr>
          <w:rtl w:val="0"/>
        </w:rPr>
        <w:t xml:space="preserve">  Excessive use of words like  </w:t>
      </w:r>
      <w:r w:rsidDel="00000000" w:rsidR="00000000" w:rsidRPr="00000000">
        <w:rPr>
          <w:i w:val="1"/>
          <w:iCs w:val="1"/>
          <w:rtl w:val="0"/>
        </w:rPr>
        <w:t xml:space="preserve">delve, underscore, vibrant, rich tapestry, pivotal,</w:t>
      </w:r>
      <w:r w:rsidDel="00000000" w:rsidR="00000000" w:rsidRPr="00000000">
        <w:rPr>
          <w:rtl w:val="0"/>
        </w:rPr>
        <w:t xml:space="preserve">  and  </w:t>
      </w:r>
      <w:r w:rsidDel="00000000" w:rsidR="00000000" w:rsidRPr="00000000">
        <w:rPr>
          <w:i w:val="1"/>
          <w:iCs w:val="1"/>
          <w:rtl w:val="0"/>
        </w:rPr>
        <w:t xml:space="preserve">meticulous</w:t>
      </w:r>
      <w:r w:rsidDel="00000000" w:rsidR="00000000" w:rsidRPr="00000000">
        <w:rPr>
          <w:rtl w:val="0"/>
        </w:rPr>
        <w:t xml:space="preserve"> .</w:t>
      </w:r>
    </w:p>
    <w:p w:rsidR="00000000" w:rsidDel="00000000" w:rsidP="00000000" w:rsidRDefault="00000000" w:rsidRPr="00000000" w14:paraId="00000031">
      <w:pPr>
        <w:numPr>
          <w:ilvl w:val="0"/>
          <w:numId w:val="7"/>
        </w:numPr>
        <w:ind w:left="720" w:hanging="360"/>
        <w:rPr>
          <w:u w:val="none"/>
        </w:rPr>
      </w:pPr>
      <w:r w:rsidDel="00000000" w:rsidR="00000000" w:rsidRPr="00000000">
        <w:rPr>
          <w:b w:val="1"/>
          <w:bCs w:val="1"/>
          <w:rtl w:val="0"/>
        </w:rPr>
        <w:t xml:space="preserve">Formatting Quirks:</w:t>
      </w:r>
      <w:r w:rsidDel="00000000" w:rsidR="00000000" w:rsidRPr="00000000">
        <w:rPr>
          <w:rtl w:val="0"/>
        </w:rPr>
        <w:t xml:space="preserve">  Overuse of boldface for "key takeaways," unusual use of tables for simple prose, and the inclusion of Markdown artifacts (e.g., ### or ##).</w:t>
      </w:r>
    </w:p>
    <w:p w:rsidR="00000000" w:rsidDel="00000000" w:rsidP="00000000" w:rsidRDefault="00000000" w:rsidRPr="00000000" w14:paraId="00000032">
      <w:pPr>
        <w:numPr>
          <w:ilvl w:val="0"/>
          <w:numId w:val="7"/>
        </w:numPr>
        <w:ind w:left="720" w:hanging="360"/>
        <w:rPr>
          <w:u w:val="none"/>
        </w:rPr>
      </w:pPr>
      <w:r w:rsidDel="00000000" w:rsidR="00000000" w:rsidRPr="00000000">
        <w:rPr>
          <w:b w:val="1"/>
          <w:bCs w:val="1"/>
          <w:rtl w:val="0"/>
        </w:rPr>
        <w:t xml:space="preserve">Citation Hallucination:</w:t>
      </w:r>
      <w:r w:rsidDel="00000000" w:rsidR="00000000" w:rsidRPr="00000000">
        <w:rPr>
          <w:rtl w:val="0"/>
        </w:rPr>
        <w:t xml:space="preserve">  Providing plausible-sounding but non-existent book titles, page numbers, or DOIs.</w:t>
      </w:r>
    </w:p>
    <w:p w:rsidR="00000000" w:rsidDel="00000000" w:rsidP="00000000" w:rsidRDefault="00000000" w:rsidRPr="00000000" w14:paraId="00000033">
      <w:pPr>
        <w:pStyle w:val="Heading5"/>
        <w:rPr/>
      </w:pPr>
      <w:bookmarkStart w:colFirst="0" w:colLast="0" w:name="_gm6mrpxkgp9x" w:id="15"/>
      <w:bookmarkEnd w:id="15"/>
      <w:r w:rsidDel="00000000" w:rsidR="00000000" w:rsidRPr="00000000">
        <w:rPr>
          <w:rtl w:val="0"/>
        </w:rPr>
        <w:t xml:space="preserve">Human Authenticity Markers</w:t>
      </w:r>
    </w:p>
    <w:p w:rsidR="00000000" w:rsidDel="00000000" w:rsidP="00000000" w:rsidRDefault="00000000" w:rsidRPr="00000000" w14:paraId="00000034">
      <w:pPr>
        <w:numPr>
          <w:ilvl w:val="0"/>
          <w:numId w:val="2"/>
        </w:numPr>
        <w:ind w:left="720" w:hanging="360"/>
        <w:rPr>
          <w:u w:val="none"/>
        </w:rPr>
      </w:pPr>
      <w:r w:rsidDel="00000000" w:rsidR="00000000" w:rsidRPr="00000000">
        <w:rPr>
          <w:b w:val="1"/>
          <w:bCs w:val="1"/>
          <w:rtl w:val="0"/>
        </w:rPr>
        <w:t xml:space="preserve">Chaotic Interaction:</w:t>
      </w:r>
      <w:r w:rsidDel="00000000" w:rsidR="00000000" w:rsidRPr="00000000">
        <w:rPr>
          <w:rtl w:val="0"/>
        </w:rPr>
        <w:t xml:space="preserve">  Real human interviews include interruptions, restarts, and clarifying misunderstandings that AI currently lacks.</w:t>
      </w:r>
    </w:p>
    <w:p w:rsidR="00000000" w:rsidDel="00000000" w:rsidP="00000000" w:rsidRDefault="00000000" w:rsidRPr="00000000" w14:paraId="00000035">
      <w:pPr>
        <w:numPr>
          <w:ilvl w:val="0"/>
          <w:numId w:val="2"/>
        </w:numPr>
        <w:ind w:left="720" w:hanging="360"/>
        <w:rPr>
          <w:u w:val="none"/>
        </w:rPr>
      </w:pPr>
      <w:r w:rsidDel="00000000" w:rsidR="00000000" w:rsidRPr="00000000">
        <w:rPr>
          <w:b w:val="1"/>
          <w:bCs w:val="1"/>
          <w:rtl w:val="0"/>
        </w:rPr>
        <w:t xml:space="preserve">Linguistic Irregularity:</w:t>
      </w:r>
      <w:r w:rsidDel="00000000" w:rsidR="00000000" w:rsidRPr="00000000">
        <w:rPr>
          <w:rtl w:val="0"/>
        </w:rPr>
        <w:t xml:space="preserve">  Human writing often includes slang, intentional sentence fragments, and shifts in tone that do not follow a predictive pixel/word model.</w:t>
      </w:r>
    </w:p>
    <w:p w:rsidR="00000000" w:rsidDel="00000000" w:rsidP="00000000" w:rsidRDefault="00000000" w:rsidRPr="00000000" w14:paraId="00000036">
      <w:pPr>
        <w:numPr>
          <w:ilvl w:val="0"/>
          <w:numId w:val="2"/>
        </w:numPr>
        <w:ind w:left="720" w:hanging="360"/>
        <w:rPr>
          <w:u w:val="none"/>
        </w:rPr>
      </w:pPr>
      <w:r w:rsidDel="00000000" w:rsidR="00000000" w:rsidRPr="00000000">
        <w:rPr>
          <w:b w:val="1"/>
          <w:bCs w:val="1"/>
          <w:rtl w:val="0"/>
        </w:rPr>
        <w:t xml:space="preserve">Editorial Choices:</w:t>
      </w:r>
      <w:r w:rsidDel="00000000" w:rsidR="00000000" w:rsidRPr="00000000">
        <w:rPr>
          <w:rtl w:val="0"/>
        </w:rPr>
        <w:t xml:space="preserve">  The ability to explain  </w:t>
      </w:r>
      <w:r w:rsidDel="00000000" w:rsidR="00000000" w:rsidRPr="00000000">
        <w:rPr>
          <w:i w:val="1"/>
          <w:iCs w:val="1"/>
          <w:rtl w:val="0"/>
        </w:rPr>
        <w:t xml:space="preserve">why</w:t>
      </w:r>
      <w:r w:rsidDel="00000000" w:rsidR="00000000" w:rsidRPr="00000000">
        <w:rPr>
          <w:rtl w:val="0"/>
        </w:rPr>
        <w:t xml:space="preserve">  a specific editorial decision was made is a strong indicator of human authorship.</w:t>
      </w:r>
    </w:p>
    <w:p w:rsidR="00000000" w:rsidDel="00000000" w:rsidP="00000000" w:rsidRDefault="00000000" w:rsidRPr="00000000" w14:paraId="00000037">
      <w:pPr>
        <w:pStyle w:val="Heading5"/>
        <w:rPr/>
      </w:pPr>
      <w:bookmarkStart w:colFirst="0" w:colLast="0" w:name="_2bkuq0ebgow8" w:id="16"/>
      <w:bookmarkEnd w:id="16"/>
      <w:r w:rsidDel="00000000" w:rsidR="00000000" w:rsidRPr="00000000">
        <w:rPr>
          <w:rtl w:val="0"/>
        </w:rPr>
        <w:t xml:space="preserve">The "Neurodivergent Overlap" Challenge</w:t>
      </w:r>
    </w:p>
    <w:p w:rsidR="00000000" w:rsidDel="00000000" w:rsidP="00000000" w:rsidRDefault="00000000" w:rsidRPr="00000000" w14:paraId="00000038">
      <w:pPr>
        <w:rPr/>
      </w:pPr>
      <w:r w:rsidDel="00000000" w:rsidR="00000000" w:rsidRPr="00000000">
        <w:rPr>
          <w:rtl w:val="0"/>
        </w:rPr>
        <w:t xml:space="preserve">A significant concern identified in community discourse is the misidentification of neurodivergent (specifically AuDHD) writing as AI-generated. Markers commonly used by AI detectors—such as perfect grammar, lack of personal pronouns, "big words," and highly structured lists—are also traits of many neurodivergent writers. This leads to false accusations of academic or professional dishonesty.</w:t>
      </w:r>
    </w:p>
    <w:p w:rsidR="00000000" w:rsidDel="00000000" w:rsidP="00000000" w:rsidRDefault="00000000" w:rsidRPr="00000000" w14:paraId="00000039">
      <w:pPr>
        <w:pStyle w:val="Heading4"/>
        <w:rPr/>
      </w:pPr>
      <w:bookmarkStart w:colFirst="0" w:colLast="0" w:name="_lpsshnk55wyh" w:id="17"/>
      <w:bookmarkEnd w:id="17"/>
      <w:r w:rsidDel="00000000" w:rsidR="00000000" w:rsidRPr="00000000">
        <w:rPr>
          <w:rtl w:val="0"/>
        </w:rPr>
        <w:t xml:space="preserve">5. Industry Definitions and Concepts</w:t>
      </w:r>
    </w:p>
    <w:p w:rsidR="00000000" w:rsidDel="00000000" w:rsidP="00000000" w:rsidRDefault="00000000" w:rsidRPr="00000000" w14:paraId="0000003A">
      <w:pPr>
        <w:rPr/>
      </w:pPr>
      <w:r w:rsidDel="00000000" w:rsidR="00000000" w:rsidRPr="00000000">
        <w:rPr>
          <w:rtl w:val="0"/>
        </w:rPr>
        <w:t xml:space="preserve">Term,Definition</w:t>
      </w:r>
    </w:p>
    <w:p w:rsidR="00000000" w:rsidDel="00000000" w:rsidP="00000000" w:rsidRDefault="00000000" w:rsidRPr="00000000" w14:paraId="0000003B">
      <w:pPr>
        <w:rPr/>
      </w:pPr>
      <w:r w:rsidDel="00000000" w:rsidR="00000000" w:rsidRPr="00000000">
        <w:rPr>
          <w:rtl w:val="0"/>
        </w:rPr>
        <w:t xml:space="preserve">Agile Development,"A methodology based on iteration, continuous feedback, and evolution of a project."</w:t>
      </w:r>
    </w:p>
    <w:p w:rsidR="00000000" w:rsidDel="00000000" w:rsidP="00000000" w:rsidRDefault="00000000" w:rsidRPr="00000000" w14:paraId="0000003C">
      <w:pPr>
        <w:rPr/>
      </w:pPr>
      <w:r w:rsidDel="00000000" w:rsidR="00000000" w:rsidRPr="00000000">
        <w:rPr>
          <w:rtl w:val="0"/>
        </w:rPr>
        <w:t xml:space="preserve">AIO,"The three elements of lifestyle: Activities, Interests, and Opinions."</w:t>
      </w:r>
    </w:p>
    <w:p w:rsidR="00000000" w:rsidDel="00000000" w:rsidP="00000000" w:rsidRDefault="00000000" w:rsidRPr="00000000" w14:paraId="0000003D">
      <w:pPr>
        <w:rPr/>
      </w:pPr>
      <w:r w:rsidDel="00000000" w:rsidR="00000000" w:rsidRPr="00000000">
        <w:rPr>
          <w:rtl w:val="0"/>
        </w:rPr>
        <w:t xml:space="preserve">Ajax,Web development techniques used to create asynchronous applications without reloading pages.</w:t>
      </w:r>
    </w:p>
    <w:p w:rsidR="00000000" w:rsidDel="00000000" w:rsidP="00000000" w:rsidRDefault="00000000" w:rsidRPr="00000000" w14:paraId="0000003E">
      <w:pPr>
        <w:rPr/>
      </w:pPr>
      <w:r w:rsidDel="00000000" w:rsidR="00000000" w:rsidRPr="00000000">
        <w:rPr>
          <w:rtl w:val="0"/>
        </w:rPr>
        <w:t xml:space="preserve">Type II Error,A false negative; the failure to detect an effect that is actually present.</w:t>
      </w:r>
    </w:p>
    <w:p w:rsidR="00000000" w:rsidDel="00000000" w:rsidP="00000000" w:rsidRDefault="00000000" w:rsidRPr="00000000" w14:paraId="0000003F">
      <w:pPr>
        <w:rPr/>
      </w:pPr>
      <w:r w:rsidDel="00000000" w:rsidR="00000000" w:rsidRPr="00000000">
        <w:rPr>
          <w:rtl w:val="0"/>
        </w:rPr>
        <w:t xml:space="preserve">Bento Grid,A modern CSS grid layout trend used in web design.</w:t>
      </w:r>
    </w:p>
    <w:p w:rsidR="00000000" w:rsidDel="00000000" w:rsidP="00000000" w:rsidRDefault="00000000" w:rsidRPr="00000000" w14:paraId="00000040">
      <w:pPr>
        <w:rPr/>
      </w:pPr>
      <w:r w:rsidDel="00000000" w:rsidR="00000000" w:rsidRPr="00000000">
        <w:rPr>
          <w:rtl w:val="0"/>
        </w:rPr>
        <w:t xml:space="preserve">UTM Tags,"Parameters added to URLs to identify the source, medium, and campaign of web traffic."</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