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z6schhojep6" w:id="0"/>
      <w:bookmarkEnd w:id="0"/>
      <w:r w:rsidDel="00000000" w:rsidR="00000000" w:rsidRPr="00000000">
        <w:rPr>
          <w:rtl w:val="0"/>
        </w:rPr>
        <w:t xml:space="preserve">The Neuro-Conversion Blueprint: Transitioning the Hammad Foundation to a Social Investment Vehicle</w:t>
      </w:r>
    </w:p>
    <w:p w:rsidR="00000000" w:rsidDel="00000000" w:rsidP="00000000" w:rsidRDefault="00000000" w:rsidRPr="00000000" w14:paraId="00000002">
      <w:pPr>
        <w:pStyle w:val="Heading5"/>
        <w:rPr/>
      </w:pPr>
      <w:bookmarkStart w:colFirst="0" w:colLast="0" w:name="_dxdnkzn0yqhr" w:id="1"/>
      <w:bookmarkEnd w:id="1"/>
      <w:r w:rsidDel="00000000" w:rsidR="00000000" w:rsidRPr="00000000">
        <w:rPr>
          <w:rtl w:val="0"/>
        </w:rPr>
        <w:t xml:space="preserve">1. Executive Strategic Intent: From Charity to Social Investment</w:t>
      </w:r>
    </w:p>
    <w:p w:rsidR="00000000" w:rsidDel="00000000" w:rsidP="00000000" w:rsidRDefault="00000000" w:rsidRPr="00000000" w14:paraId="00000003">
      <w:pPr>
        <w:rPr/>
      </w:pPr>
      <w:r w:rsidDel="00000000" w:rsidR="00000000" w:rsidRPr="00000000">
        <w:rPr>
          <w:rtl w:val="0"/>
        </w:rPr>
        <w:t xml:space="preserve">Traditional charity is a dying model of engagement. Guilt-based pleas trigger short-term emotional responses that lead to transactional, one-off donations, leaving organizations in a permanent state of financial fragility. We are architecting a pivot that mandates a transition from guilt to an investment-grade narrative. This Social Investment Vehicle (SIV) model speaks to the logic of the Pakistani Diaspora, framing community development as an asset class rather than a sunk cost. We are no longer asking for help; we are presenting an opportunity for the Diaspora to deploy capital into high-yield social infrastructure.Persuasion begins with Identity-Based Copy. We are stripping away the "Donor" label, which implies a temporary, passive transaction. In its place, we install the "Guardian" persona. Guardianship is a permanent psychological state involving stewardship, long-term protection, and intergenerational responsibility. This shift targets the Reptilian Brain. While the Neo-Cortex fumbles with logical arguments, the Reptilian Brain demands proof of authenticity and survival-level utility. By bypassing the Neo-Cortex's skepticism through raw "Evidence of Work," we force subconscious alignment. Our narrative concludes by weaponizing the behavioral economics of loss aversion, shifting the focus from the loss of personal wealth to the collective gain in community protection.</w:t>
      </w:r>
    </w:p>
    <w:p w:rsidR="00000000" w:rsidDel="00000000" w:rsidP="00000000" w:rsidRDefault="00000000" w:rsidRPr="00000000" w14:paraId="00000004">
      <w:pPr>
        <w:pStyle w:val="Heading5"/>
        <w:rPr/>
      </w:pPr>
      <w:bookmarkStart w:colFirst="0" w:colLast="0" w:name="_5n4lomv9s1e" w:id="2"/>
      <w:bookmarkEnd w:id="2"/>
      <w:r w:rsidDel="00000000" w:rsidR="00000000" w:rsidRPr="00000000">
        <w:rPr>
          <w:rtl w:val="0"/>
        </w:rPr>
        <w:t xml:space="preserve">2. The Behavioral Economics of Contribution: Mitigating Loss Aversion</w:t>
      </w:r>
    </w:p>
    <w:p w:rsidR="00000000" w:rsidDel="00000000" w:rsidP="00000000" w:rsidRDefault="00000000" w:rsidRPr="00000000" w14:paraId="00000005">
      <w:pPr>
        <w:rPr/>
      </w:pPr>
      <w:r w:rsidDel="00000000" w:rsidR="00000000" w:rsidRPr="00000000">
        <w:rPr>
          <w:rtl w:val="0"/>
        </w:rPr>
        <w:t xml:space="preserve">High-capacity philanthropy is often paralyzed by loss aversion. Research from the Korean Economic Association (Hwang, 2016a) demonstrates that loss-averse individuals avoid "pure insurance"—the psychological equivalent of a standard donation—because it is perceived as a certain loss. However, these same individuals gravitate toward products with "savings elements." The data is empirical and undeniable: a one-unit increase in loss aversion is estimated to raise the probability of owning a whole-life (savings-linked) vehicle by 6.60 percent point. We will leverage this 6.6% delta by framing the Hammad Foundation as a "Whole-Life" Social Investment.| Feature | Term-Life Charity (Pure Loss) | Whole-Life Social Investment (Savings/Protection) || ------ | ------ | ------ || </w:t>
      </w:r>
      <w:r w:rsidDel="00000000" w:rsidR="00000000" w:rsidRPr="00000000">
        <w:rPr>
          <w:b w:val="1"/>
          <w:bCs w:val="1"/>
          <w:rtl w:val="0"/>
        </w:rPr>
        <w:t xml:space="preserve">Asset Narrative</w:t>
      </w:r>
      <w:r w:rsidDel="00000000" w:rsidR="00000000" w:rsidRPr="00000000">
        <w:rPr>
          <w:rtl w:val="0"/>
        </w:rPr>
        <w:t xml:space="preserve"> | Sunk cost. | Asset allocation for the community. || </w:t>
      </w:r>
      <w:r w:rsidDel="00000000" w:rsidR="00000000" w:rsidRPr="00000000">
        <w:rPr>
          <w:b w:val="1"/>
          <w:bCs w:val="1"/>
          <w:rtl w:val="0"/>
        </w:rPr>
        <w:t xml:space="preserve">Time Horizon</w:t>
      </w:r>
      <w:r w:rsidDel="00000000" w:rsidR="00000000" w:rsidRPr="00000000">
        <w:rPr>
          <w:rtl w:val="0"/>
        </w:rPr>
        <w:t xml:space="preserve"> | Short-term. | Cumulative, lifelong protection. || </w:t>
      </w:r>
      <w:r w:rsidDel="00000000" w:rsidR="00000000" w:rsidRPr="00000000">
        <w:rPr>
          <w:b w:val="1"/>
          <w:bCs w:val="1"/>
          <w:rtl w:val="0"/>
        </w:rPr>
        <w:t xml:space="preserve">Psychological Anchor</w:t>
      </w:r>
      <w:r w:rsidDel="00000000" w:rsidR="00000000" w:rsidRPr="00000000">
        <w:rPr>
          <w:rtl w:val="0"/>
        </w:rPr>
        <w:t xml:space="preserve"> | Guilt and depletion. | Security, savings elements, and legacy. || </w:t>
      </w:r>
      <w:r w:rsidDel="00000000" w:rsidR="00000000" w:rsidRPr="00000000">
        <w:rPr>
          <w:b w:val="1"/>
          <w:bCs w:val="1"/>
          <w:rtl w:val="0"/>
        </w:rPr>
        <w:t xml:space="preserve">Subconscious Target</w:t>
      </w:r>
      <w:r w:rsidDel="00000000" w:rsidR="00000000" w:rsidRPr="00000000">
        <w:rPr>
          <w:rtl w:val="0"/>
        </w:rPr>
        <w:t xml:space="preserve"> | Immediate relief. | Long-term growth of community net worth. || </w:t>
      </w:r>
      <w:r w:rsidDel="00000000" w:rsidR="00000000" w:rsidRPr="00000000">
        <w:rPr>
          <w:b w:val="1"/>
          <w:bCs w:val="1"/>
          <w:rtl w:val="0"/>
        </w:rPr>
        <w:t xml:space="preserve">Auditability</w:t>
      </w:r>
      <w:r w:rsidDel="00000000" w:rsidR="00000000" w:rsidRPr="00000000">
        <w:rPr>
          <w:rtl w:val="0"/>
        </w:rPr>
        <w:t xml:space="preserve"> | Low/Opaque. | Radical technical and visual transparency. |</w:t>
      </w:r>
    </w:p>
    <w:p w:rsidR="00000000" w:rsidDel="00000000" w:rsidP="00000000" w:rsidRDefault="00000000" w:rsidRPr="00000000" w14:paraId="00000006">
      <w:pPr>
        <w:rPr/>
      </w:pPr>
      <w:r w:rsidDel="00000000" w:rsidR="00000000" w:rsidRPr="00000000">
        <w:rPr>
          <w:rtl w:val="0"/>
        </w:rPr>
        <w:t xml:space="preserve">Hwang (2016a) proves that the potential loss from whole-life models is perceived as smaller because the "savings element" creates a reserved fund of value. We treat every student's progress and every gram of nutrition as a community "cash value." This counters "Narrow Framing," a bias where individuals isolate risks rather than seeing the diversification of community strength. We must shift the "Reference Point"—the psychological baseline. If the Diaspora does not act, the reference point is a declining wealth level. By engaging, they achieve a gain in community net worth. This transition requires radical technical transparency to serve as the "savings" ledger.</w:t>
      </w:r>
    </w:p>
    <w:p w:rsidR="00000000" w:rsidDel="00000000" w:rsidP="00000000" w:rsidRDefault="00000000" w:rsidRPr="00000000" w14:paraId="00000007">
      <w:pPr>
        <w:pStyle w:val="Heading5"/>
        <w:rPr/>
      </w:pPr>
      <w:bookmarkStart w:colFirst="0" w:colLast="0" w:name="_325b6e9d1eno" w:id="3"/>
      <w:bookmarkEnd w:id="3"/>
      <w:r w:rsidDel="00000000" w:rsidR="00000000" w:rsidRPr="00000000">
        <w:rPr>
          <w:rtl w:val="0"/>
        </w:rPr>
        <w:t xml:space="preserve">3. The "Project Dominion" Technical Specification &amp; The 100ms Rule</w:t>
      </w:r>
    </w:p>
    <w:p w:rsidR="00000000" w:rsidDel="00000000" w:rsidP="00000000" w:rsidRDefault="00000000" w:rsidRPr="00000000" w14:paraId="00000008">
      <w:pPr>
        <w:rPr>
          <w:b w:val="1"/>
          <w:bCs w:val="1"/>
        </w:rPr>
      </w:pPr>
      <w:r w:rsidDel="00000000" w:rsidR="00000000" w:rsidRPr="00000000">
        <w:rPr>
          <w:rtl w:val="0"/>
        </w:rPr>
        <w:t xml:space="preserve">Digital friction is a trust killer. At a sub-perceptual level, a "laggy" site serves as a subconscious warning that an organization is unprofessional, disorganized, or technologically obsolete. We adhere to the 100ms Rule: every 100ms of latency beyond the initial load costs 1% in potential engagement. To secure the trust of the Diaspora, the site performance must be elite.</w:t>
      </w:r>
      <w:r w:rsidDel="00000000" w:rsidR="00000000" w:rsidRPr="00000000">
        <w:rPr>
          <w:b w:val="1"/>
          <w:bCs w:val="1"/>
          <w:rtl w:val="0"/>
        </w:rPr>
        <w:t xml:space="preserve">Technical Directives:</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Performance Stack:</w:t>
      </w:r>
      <w:r w:rsidDel="00000000" w:rsidR="00000000" w:rsidRPr="00000000">
        <w:rPr>
          <w:rtl w:val="0"/>
        </w:rPr>
        <w:t xml:space="preserve">  We utilize Next.js Server-Side Rendering (SSR) to achieve an Interaction to Next Paint (INP) under 200ms. This ensures that every click and scroll feels instantaneous, mirroring the responsiveness of a premium financial terminal.</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Hybrid Payment Architecture:</w:t>
      </w:r>
      <w:r w:rsidDel="00000000" w:rsidR="00000000" w:rsidRPr="00000000">
        <w:rPr>
          <w:rtl w:val="0"/>
        </w:rPr>
        <w:t xml:space="preserve">  We eliminate cross-border friction by integrating PayPro for local official invoicing and Amazon Payment Services for international credit card processing. This provides a secure, e-commerce-style experience for the global Diaspora, removing the ambiguity of international bank transfers.</w:t>
      </w:r>
    </w:p>
    <w:p w:rsidR="00000000" w:rsidDel="00000000" w:rsidP="00000000" w:rsidRDefault="00000000" w:rsidRPr="00000000" w14:paraId="0000000B">
      <w:pPr>
        <w:numPr>
          <w:ilvl w:val="0"/>
          <w:numId w:val="1"/>
        </w:numPr>
        <w:ind w:left="720" w:hanging="360"/>
        <w:rPr>
          <w:b w:val="1"/>
          <w:bCs w:val="1"/>
        </w:rPr>
      </w:pPr>
      <w:r w:rsidDel="00000000" w:rsidR="00000000" w:rsidRPr="00000000">
        <w:rPr>
          <w:b w:val="1"/>
          <w:bCs w:val="1"/>
          <w:rtl w:val="0"/>
        </w:rPr>
        <w:t xml:space="preserve">Subconscious Trust Signals: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Verification:</w:t>
      </w:r>
      <w:r w:rsidDel="00000000" w:rsidR="00000000" w:rsidRPr="00000000">
        <w:rPr>
          <w:rtl w:val="0"/>
        </w:rPr>
        <w:t xml:space="preserve">  A floating FBR/SECP verification badge must remain visible at all times, providing persistent legal proof.</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Direct Support:</w:t>
      </w:r>
      <w:r w:rsidDel="00000000" w:rsidR="00000000" w:rsidRPr="00000000">
        <w:rPr>
          <w:rtl w:val="0"/>
        </w:rPr>
        <w:t xml:space="preserve">  A 1-Click WhatsApp Support button must be pinned to the UI to mitigate "Ambiguity Bias," ensuring a human connection is always one tap away.</w:t>
      </w:r>
    </w:p>
    <w:p w:rsidR="00000000" w:rsidDel="00000000" w:rsidP="00000000" w:rsidRDefault="00000000" w:rsidRPr="00000000" w14:paraId="0000000E">
      <w:pPr>
        <w:pStyle w:val="Heading5"/>
        <w:rPr/>
      </w:pPr>
      <w:bookmarkStart w:colFirst="0" w:colLast="0" w:name="_w7k8tqjh4r2m" w:id="4"/>
      <w:bookmarkEnd w:id="4"/>
      <w:r w:rsidDel="00000000" w:rsidR="00000000" w:rsidRPr="00000000">
        <w:rPr>
          <w:rtl w:val="0"/>
        </w:rPr>
        <w:t xml:space="preserve">4. Bento-Grid UI/UX: The Visual "Evidence of Work" System</w:t>
      </w:r>
    </w:p>
    <w:p w:rsidR="00000000" w:rsidDel="00000000" w:rsidP="00000000" w:rsidRDefault="00000000" w:rsidRPr="00000000" w14:paraId="0000000F">
      <w:pPr>
        <w:rPr>
          <w:b w:val="1"/>
          <w:bCs w:val="1"/>
        </w:rPr>
      </w:pPr>
      <w:r w:rsidDel="00000000" w:rsidR="00000000" w:rsidRPr="00000000">
        <w:rPr>
          <w:rtl w:val="0"/>
        </w:rPr>
        <w:t xml:space="preserve">The 2026 design standard moves away from linear scrolling toward high-density, modular layouts. We will use a  </w:t>
      </w:r>
      <w:r w:rsidDel="00000000" w:rsidR="00000000" w:rsidRPr="00000000">
        <w:rPr>
          <w:b w:val="1"/>
          <w:bCs w:val="1"/>
          <w:rtl w:val="0"/>
        </w:rPr>
        <w:t xml:space="preserve">Bento Grid</w:t>
      </w:r>
      <w:r w:rsidDel="00000000" w:rsidR="00000000" w:rsidRPr="00000000">
        <w:rPr>
          <w:rtl w:val="0"/>
        </w:rPr>
        <w:t xml:space="preserve">  system to visualize "Evidence of Work" through a Radical Transparency module. This layout allows us to present complex, real-time data feeds in a way that the brain can categorize and trust instantly.</w:t>
      </w:r>
      <w:r w:rsidDel="00000000" w:rsidR="00000000" w:rsidRPr="00000000">
        <w:rPr>
          <w:b w:val="1"/>
          <w:bCs w:val="1"/>
          <w:rtl w:val="0"/>
        </w:rPr>
        <w:t xml:space="preserve">Visual Data Modules:</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Real-Time Attendance:</w:t>
      </w:r>
      <w:r w:rsidDel="00000000" w:rsidR="00000000" w:rsidRPr="00000000">
        <w:rPr>
          <w:rtl w:val="0"/>
        </w:rPr>
        <w:t xml:space="preserve">  Live headcounts of students currently in classrooms.</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Resource Tracking:</w:t>
      </w:r>
      <w:r w:rsidDel="00000000" w:rsidR="00000000" w:rsidRPr="00000000">
        <w:rPr>
          <w:rtl w:val="0"/>
        </w:rPr>
        <w:t xml:space="preserve">  Daily flour weight and nutritional units distributed.</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Financial Scans:</w:t>
      </w:r>
      <w:r w:rsidDel="00000000" w:rsidR="00000000" w:rsidRPr="00000000">
        <w:rPr>
          <w:rtl w:val="0"/>
        </w:rPr>
        <w:t xml:space="preserve">  High-resolution scans of physical receipts from today's expenditures.</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Impact Metrics:</w:t>
      </w:r>
      <w:r w:rsidDel="00000000" w:rsidR="00000000" w:rsidRPr="00000000">
        <w:rPr>
          <w:rtl w:val="0"/>
        </w:rPr>
        <w:t xml:space="preserve">  Verified human capital growth charts.The visual flow follows a strict  </w:t>
      </w:r>
      <w:r w:rsidDel="00000000" w:rsidR="00000000" w:rsidRPr="00000000">
        <w:rPr>
          <w:b w:val="1"/>
          <w:bCs w:val="1"/>
          <w:rtl w:val="0"/>
        </w:rPr>
        <w:t xml:space="preserve">Z-Pattern Hierarchy</w:t>
      </w:r>
      <w:r w:rsidDel="00000000" w:rsidR="00000000" w:rsidRPr="00000000">
        <w:rPr>
          <w:rtl w:val="0"/>
        </w:rPr>
        <w:t xml:space="preserve"> . The journey begins in the top-left with the "Visual Hook"—a 10-second raw classroom video. This video must be unfiltered, unedited, gritty, and non-color-graded to bypass the Reptilian Brain's "fake marketing" filter. The eye then moves to the Transparency Badge in the top-right, providing the logical verification the Neo-Cortex requires. The flow concludes at the bottom-right with the "Join the 240" Request for Guardianship.</w:t>
      </w:r>
    </w:p>
    <w:p w:rsidR="00000000" w:rsidDel="00000000" w:rsidP="00000000" w:rsidRDefault="00000000" w:rsidRPr="00000000" w14:paraId="00000014">
      <w:pPr>
        <w:pStyle w:val="Heading5"/>
        <w:rPr/>
      </w:pPr>
      <w:bookmarkStart w:colFirst="0" w:colLast="0" w:name="_d873s7g35a5g" w:id="5"/>
      <w:bookmarkEnd w:id="5"/>
      <w:r w:rsidDel="00000000" w:rsidR="00000000" w:rsidRPr="00000000">
        <w:rPr>
          <w:rtl w:val="0"/>
        </w:rPr>
        <w:t xml:space="preserve">5. The Advanced P.A.S.T.O.R. Copywriting Matrix</w:t>
      </w:r>
    </w:p>
    <w:p w:rsidR="00000000" w:rsidDel="00000000" w:rsidP="00000000" w:rsidRDefault="00000000" w:rsidRPr="00000000" w14:paraId="00000015">
      <w:pPr>
        <w:rPr/>
      </w:pPr>
      <w:r w:rsidDel="00000000" w:rsidR="00000000" w:rsidRPr="00000000">
        <w:rPr>
          <w:rtl w:val="0"/>
        </w:rPr>
        <w:t xml:space="preserve">We are moving the Diaspora from "guilt" to "absolution through action." This requires the Advanced P.A.S.T.O.R. framework to address skepticism and the risk of waiting.</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P (Person/Problem/Pain):</w:t>
      </w:r>
      <w:r w:rsidDel="00000000" w:rsidR="00000000" w:rsidRPr="00000000">
        <w:rPr>
          <w:rtl w:val="0"/>
        </w:rPr>
        <w:t xml:space="preserve">  We speak to the "Street-Raised" identity. We describe the visceral pain of seeing the familiar streets of Lahore and Pakistan deteriorate—the sights and smells of a home left behind that is now falling into disrepair.</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A (Amplify/Aspirations):</w:t>
      </w:r>
      <w:r w:rsidDel="00000000" w:rsidR="00000000" w:rsidRPr="00000000">
        <w:rPr>
          <w:rtl w:val="0"/>
        </w:rPr>
        <w:t xml:space="preserve">  We amplify the cost of doing nothing. What does this problem look like in 5 years if you keep doing what you’ve been doing? It is a total collapse of the human capital you left behind. We flip this to the aspiration of a socially invested, elite educated class.</w:t>
      </w:r>
    </w:p>
    <w:p w:rsidR="00000000" w:rsidDel="00000000" w:rsidP="00000000" w:rsidRDefault="00000000" w:rsidRPr="00000000" w14:paraId="00000018">
      <w:pPr>
        <w:numPr>
          <w:ilvl w:val="0"/>
          <w:numId w:val="4"/>
        </w:numPr>
        <w:ind w:left="720" w:hanging="360"/>
        <w:rPr>
          <w:u w:val="none"/>
        </w:rPr>
      </w:pPr>
      <w:r w:rsidDel="00000000" w:rsidR="00000000" w:rsidRPr="00000000">
        <w:rPr>
          <w:b w:val="1"/>
          <w:bCs w:val="1"/>
          <w:rtl w:val="0"/>
        </w:rPr>
        <w:t xml:space="preserve">S (Story/Solution/System):</w:t>
      </w:r>
      <w:r w:rsidDel="00000000" w:rsidR="00000000" w:rsidRPr="00000000">
        <w:rPr>
          <w:rtl w:val="0"/>
        </w:rPr>
        <w:t xml:space="preserve">  We introduce the "Lahore Philanthropic Growth Matrix." This is our "Golden Triangle" targeting system focused on: 1. Primary Education, 2. Maternal Nutrition, and 3. Radical Financial Auditability. This system ensures every rupee is deployed with surgical precision.</w:t>
      </w:r>
    </w:p>
    <w:p w:rsidR="00000000" w:rsidDel="00000000" w:rsidP="00000000" w:rsidRDefault="00000000" w:rsidRPr="00000000" w14:paraId="00000019">
      <w:pPr>
        <w:numPr>
          <w:ilvl w:val="0"/>
          <w:numId w:val="4"/>
        </w:numPr>
        <w:ind w:left="720" w:hanging="360"/>
        <w:rPr>
          <w:u w:val="none"/>
        </w:rPr>
      </w:pPr>
      <w:r w:rsidDel="00000000" w:rsidR="00000000" w:rsidRPr="00000000">
        <w:rPr>
          <w:b w:val="1"/>
          <w:bCs w:val="1"/>
          <w:rtl w:val="0"/>
        </w:rPr>
        <w:t xml:space="preserve">T (Transformation/Testimony):</w:t>
      </w:r>
      <w:r w:rsidDel="00000000" w:rsidR="00000000" w:rsidRPr="00000000">
        <w:rPr>
          <w:rtl w:val="0"/>
        </w:rPr>
        <w:t xml:space="preserve">  We focus on the dignity of the child. We show the transformation from the street to the desk, proven by student success stories. We are not looking for "savior" status; we are looking for evidence of a transformed life.</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O (Offer):</w:t>
      </w:r>
      <w:r w:rsidDel="00000000" w:rsidR="00000000" w:rsidRPr="00000000">
        <w:rPr>
          <w:rtl w:val="0"/>
        </w:rPr>
        <w:t xml:space="preserve">  We present the "Request for Guardianship." This is not a donation; it is an investment in a specific segment of the community's future. We use  </w:t>
      </w:r>
      <w:r w:rsidDel="00000000" w:rsidR="00000000" w:rsidRPr="00000000">
        <w:rPr>
          <w:b w:val="1"/>
          <w:bCs w:val="1"/>
          <w:rtl w:val="0"/>
        </w:rPr>
        <w:t xml:space="preserve">Price Positioning</w:t>
      </w:r>
      <w:r w:rsidDel="00000000" w:rsidR="00000000" w:rsidRPr="00000000">
        <w:rPr>
          <w:rtl w:val="0"/>
        </w:rPr>
        <w:t xml:space="preserve"> : "If the only thing this guardianship did was ensure one child never returned to the street, it would be worth the investment. But it does more. It secures the future of 240."</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R (Response):</w:t>
      </w:r>
      <w:r w:rsidDel="00000000" w:rsidR="00000000" w:rsidRPr="00000000">
        <w:rPr>
          <w:rtl w:val="0"/>
        </w:rPr>
        <w:t xml:space="preserve">  We cover the  </w:t>
      </w:r>
      <w:r w:rsidDel="00000000" w:rsidR="00000000" w:rsidRPr="00000000">
        <w:rPr>
          <w:b w:val="1"/>
          <w:bCs w:val="1"/>
          <w:rtl w:val="0"/>
        </w:rPr>
        <w:t xml:space="preserve">Risk of Waiting</w:t>
      </w:r>
      <w:r w:rsidDel="00000000" w:rsidR="00000000" w:rsidRPr="00000000">
        <w:rPr>
          <w:rtl w:val="0"/>
        </w:rPr>
        <w:t xml:space="preserve"> . Every day delayed is a day of lost human capital and increased societal cost. We explain why we are the  </w:t>
      </w:r>
      <w:r w:rsidDel="00000000" w:rsidR="00000000" w:rsidRPr="00000000">
        <w:rPr>
          <w:b w:val="1"/>
          <w:bCs w:val="1"/>
          <w:rtl w:val="0"/>
        </w:rPr>
        <w:t xml:space="preserve">Superior Choice</w:t>
      </w:r>
      <w:r w:rsidDel="00000000" w:rsidR="00000000" w:rsidRPr="00000000">
        <w:rPr>
          <w:rtl w:val="0"/>
        </w:rPr>
        <w:t xml:space="preserve">  based on our technical auditability. Finally, we request the response: "Join the 240."We reject AI-generated cadence. We do not use words like "delve," "foster," or "vibrant." Our sentences vary in length. We use personal metaphors of building and protection. We speak with the voice of architects, not poets.</w:t>
      </w:r>
    </w:p>
    <w:p w:rsidR="00000000" w:rsidDel="00000000" w:rsidP="00000000" w:rsidRDefault="00000000" w:rsidRPr="00000000" w14:paraId="0000001C">
      <w:pPr>
        <w:pStyle w:val="Heading5"/>
        <w:rPr/>
      </w:pPr>
      <w:bookmarkStart w:colFirst="0" w:colLast="0" w:name="_f8652uebzyuz" w:id="6"/>
      <w:bookmarkEnd w:id="6"/>
      <w:r w:rsidDel="00000000" w:rsidR="00000000" w:rsidRPr="00000000">
        <w:rPr>
          <w:rtl w:val="0"/>
        </w:rPr>
        <w:t xml:space="preserve">6. Summary of Implementation &amp; Conversion Laws</w:t>
      </w:r>
    </w:p>
    <w:p w:rsidR="00000000" w:rsidDel="00000000" w:rsidP="00000000" w:rsidRDefault="00000000" w:rsidRPr="00000000" w14:paraId="0000001D">
      <w:pPr>
        <w:rPr>
          <w:b w:val="1"/>
          <w:bCs w:val="1"/>
        </w:rPr>
      </w:pPr>
      <w:r w:rsidDel="00000000" w:rsidR="00000000" w:rsidRPr="00000000">
        <w:rPr>
          <w:rtl w:val="0"/>
        </w:rPr>
        <w:t xml:space="preserve">The simultaneous execution of these five laws creates a neuro-conversion engine that transforms the Hammad Foundation into a Diaspora-backed powerhouse. We are not competing for charity; we are competing for the role of the Diaspora's primary social investment partner.</w:t>
      </w:r>
      <w:r w:rsidDel="00000000" w:rsidR="00000000" w:rsidRPr="00000000">
        <w:rPr>
          <w:b w:val="1"/>
          <w:bCs w:val="1"/>
          <w:rtl w:val="0"/>
        </w:rPr>
        <w:t xml:space="preserve">Technical &amp; Behavioral Punch List (KPIs):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Speed:</w:t>
      </w:r>
      <w:r w:rsidDel="00000000" w:rsidR="00000000" w:rsidRPr="00000000">
        <w:rPr>
          <w:rtl w:val="0"/>
        </w:rPr>
        <w:t xml:space="preserve">  Interaction to Next Paint (INP) &lt; 200ms; Largest Contentful Paint (LCP) &lt; 1.2s via Next.js SSR.</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Payments:</w:t>
      </w:r>
      <w:r w:rsidDel="00000000" w:rsidR="00000000" w:rsidRPr="00000000">
        <w:rPr>
          <w:rtl w:val="0"/>
        </w:rPr>
        <w:t xml:space="preserve">  Amazon Payment Services and PayPro must be live and integrated for zero-friction cross-border transactions.</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Visuals:</w:t>
      </w:r>
      <w:r w:rsidDel="00000000" w:rsidR="00000000" w:rsidRPr="00000000">
        <w:rPr>
          <w:rtl w:val="0"/>
        </w:rPr>
        <w:t xml:space="preserve">  Remove all stock imagery. Install 10-second raw, unedited classroom video hooks.</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Bento Modules:</w:t>
      </w:r>
      <w:r w:rsidDel="00000000" w:rsidR="00000000" w:rsidRPr="00000000">
        <w:rPr>
          <w:rtl w:val="0"/>
        </w:rPr>
        <w:t xml:space="preserve">  Implement live data feeds for flour weight, attendance, and physical receipt scans.</w:t>
      </w:r>
    </w:p>
    <w:p w:rsidR="00000000" w:rsidDel="00000000" w:rsidP="00000000" w:rsidRDefault="00000000" w:rsidRPr="00000000" w14:paraId="00000022">
      <w:pPr>
        <w:numPr>
          <w:ilvl w:val="0"/>
          <w:numId w:val="2"/>
        </w:numPr>
        <w:ind w:left="720" w:hanging="360"/>
        <w:rPr>
          <w:u w:val="none"/>
        </w:rPr>
      </w:pPr>
      <w:r w:rsidDel="00000000" w:rsidR="00000000" w:rsidRPr="00000000">
        <w:rPr>
          <w:b w:val="1"/>
          <w:bCs w:val="1"/>
          <w:rtl w:val="0"/>
        </w:rPr>
        <w:t xml:space="preserve">Audit:</w:t>
      </w:r>
      <w:r w:rsidDel="00000000" w:rsidR="00000000" w:rsidRPr="00000000">
        <w:rPr>
          <w:rtl w:val="0"/>
        </w:rPr>
        <w:t xml:space="preserve">  Ensure all headlines speak to the "Guardian" persona and apply the "If the only thing..." price positioning logic.</w:t>
      </w:r>
    </w:p>
    <w:p w:rsidR="00000000" w:rsidDel="00000000" w:rsidP="00000000" w:rsidRDefault="00000000" w:rsidRPr="00000000" w14:paraId="00000023">
      <w:pPr>
        <w:numPr>
          <w:ilvl w:val="0"/>
          <w:numId w:val="2"/>
        </w:numPr>
        <w:ind w:left="720" w:hanging="360"/>
        <w:rPr>
          <w:u w:val="none"/>
        </w:rPr>
      </w:pPr>
      <w:r w:rsidDel="00000000" w:rsidR="00000000" w:rsidRPr="00000000">
        <w:rPr>
          <w:b w:val="1"/>
          <w:bCs w:val="1"/>
          <w:rtl w:val="0"/>
        </w:rPr>
        <w:t xml:space="preserve">Trust Signals:</w:t>
      </w:r>
      <w:r w:rsidDel="00000000" w:rsidR="00000000" w:rsidRPr="00000000">
        <w:rPr>
          <w:rtl w:val="0"/>
        </w:rPr>
        <w:t xml:space="preserve">  Fix the floating FBR/SECP badge and the 1-Click WhatsApp Support button to all viewports.This blueprint is the definitive directive for the transition. We are building a permanent pillar of the community, backed by the elite strength of the Pakistani Diaspora.</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