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i w:val="0"/>
          <w:color w:val="1B3A6B"/>
          <w:sz w:val="40"/>
        </w:rPr>
        <w:t>LIBRETO DE LA PRESENTACIÓN</w:t>
      </w:r>
    </w:p>
    <w:p>
      <w:pPr>
        <w:spacing w:before="0" w:after="40"/>
        <w:jc w:val="center"/>
      </w:pPr>
      <w:r>
        <w:rPr>
          <w:b w:val="0"/>
          <w:i w:val="0"/>
          <w:color w:val="555B66"/>
          <w:sz w:val="26"/>
        </w:rPr>
        <w:t>Proyecto Integrador Final · Grupo 5</w:t>
      </w:r>
    </w:p>
    <w:p>
      <w:pPr>
        <w:spacing w:before="0" w:after="400"/>
        <w:jc w:val="center"/>
      </w:pPr>
      <w:r>
        <w:rPr>
          <w:b/>
          <w:i w:val="0"/>
          <w:color w:val="1B3A6B"/>
          <w:sz w:val="26"/>
        </w:rPr>
        <w:t>Optimización de la Aprobación de Créditos</w:t>
      </w:r>
    </w:p>
    <w:p>
      <w:pPr>
        <w:spacing w:before="0" w:after="480"/>
        <w:jc w:val="center"/>
      </w:pPr>
      <w:r>
        <w:rPr>
          <w:b w:val="0"/>
          <w:i w:val="0"/>
          <w:color w:val="555B66"/>
          <w:sz w:val="22"/>
        </w:rPr>
        <w:t>Duración total: 10 minutos  ·  8 de exposición + 2 de preguntas</w:t>
      </w:r>
    </w:p>
    <w:p>
      <w:pPr>
        <w:spacing w:before="200" w:after="120"/>
        <w:jc w:val="left"/>
      </w:pPr>
      <w:r>
        <w:rPr>
          <w:b/>
          <w:i w:val="0"/>
          <w:color w:val="1B3A6B"/>
          <w:sz w:val="26"/>
        </w:rPr>
        <w:t>Reparto de temas</w:t>
      </w:r>
    </w:p>
    <w:tbl>
      <w:tblPr>
        <w:tblW w:type="auto" w:w="0"/>
        <w:jc w:val="center"/>
        <w:tblLook w:firstColumn="1" w:firstRow="1" w:lastColumn="0" w:lastRow="0" w:noHBand="0" w:noVBand="1" w:val="04A0"/>
      </w:tblPr>
      <w:tblGrid>
        <w:gridCol w:w="2436"/>
        <w:gridCol w:w="2436"/>
        <w:gridCol w:w="2436"/>
        <w:gridCol w:w="2436"/>
      </w:tblGrid>
      <w:tr>
        <w:tc>
          <w:tcPr>
            <w:tcW w:type="dxa" w:w="3402"/>
            <w:tcBorders>
              <w:top w:val="single" w:sz="6" w:color="1B3A6B"/>
              <w:bottom w:val="single" w:sz="6" w:color="1B3A6B"/>
              <w:left w:val="nil"/>
              <w:right w:val="nil"/>
            </w:tcBorders>
          </w:tcPr>
          <w:p>
            <w:pPr>
              <w:spacing w:before="60" w:after="60" w:line="240" w:lineRule="auto"/>
            </w:pPr>
            <w:r/>
            <w:r>
              <w:rPr>
                <w:b/>
                <w:color w:val="1B3A6B"/>
                <w:sz w:val="20"/>
              </w:rPr>
              <w:t>Integrante</w:t>
            </w:r>
          </w:p>
        </w:tc>
        <w:tc>
          <w:tcPr>
            <w:tcW w:type="dxa" w:w="3685"/>
            <w:tcBorders>
              <w:top w:val="single" w:sz="6" w:color="1B3A6B"/>
              <w:bottom w:val="single" w:sz="6" w:color="1B3A6B"/>
              <w:left w:val="nil"/>
              <w:right w:val="nil"/>
            </w:tcBorders>
          </w:tcPr>
          <w:p>
            <w:pPr>
              <w:spacing w:before="60" w:after="60" w:line="240" w:lineRule="auto"/>
            </w:pPr>
            <w:r/>
            <w:r>
              <w:rPr>
                <w:b/>
                <w:color w:val="1B3A6B"/>
                <w:sz w:val="20"/>
              </w:rPr>
              <w:t>Tema</w:t>
            </w:r>
          </w:p>
        </w:tc>
        <w:tc>
          <w:tcPr>
            <w:tcW w:type="dxa" w:w="1474"/>
            <w:tcBorders>
              <w:top w:val="single" w:sz="6" w:color="1B3A6B"/>
              <w:bottom w:val="single" w:sz="6" w:color="1B3A6B"/>
              <w:left w:val="nil"/>
              <w:right w:val="nil"/>
            </w:tcBorders>
          </w:tcPr>
          <w:p>
            <w:pPr>
              <w:spacing w:before="60" w:after="60" w:line="240" w:lineRule="auto"/>
            </w:pPr>
            <w:r/>
            <w:r>
              <w:rPr>
                <w:b/>
                <w:color w:val="1B3A6B"/>
                <w:sz w:val="20"/>
              </w:rPr>
              <w:t>Diapositivas</w:t>
            </w:r>
          </w:p>
        </w:tc>
        <w:tc>
          <w:tcPr>
            <w:tcW w:type="dxa" w:w="1077"/>
            <w:tcBorders>
              <w:top w:val="single" w:sz="6" w:color="1B3A6B"/>
              <w:bottom w:val="single" w:sz="6" w:color="1B3A6B"/>
              <w:left w:val="nil"/>
              <w:right w:val="nil"/>
            </w:tcBorders>
          </w:tcPr>
          <w:p>
            <w:pPr>
              <w:spacing w:before="60" w:after="60" w:line="240" w:lineRule="auto"/>
            </w:pPr>
            <w:r/>
            <w:r>
              <w:rPr>
                <w:b/>
                <w:color w:val="1B3A6B"/>
                <w:sz w:val="20"/>
              </w:rPr>
              <w:t>Tiempo</w:t>
            </w:r>
          </w:p>
        </w:tc>
      </w:tr>
      <w:tr>
        <w:tc>
          <w:tcPr>
            <w:tcW w:type="dxa" w:w="3402"/>
            <w:tcBorders>
              <w:top w:val="nil"/>
              <w:bottom w:val="nil"/>
              <w:left w:val="nil"/>
              <w:right w:val="nil"/>
            </w:tcBorders>
          </w:tcPr>
          <w:p>
            <w:pPr>
              <w:spacing w:before="60" w:after="60" w:line="240" w:lineRule="auto"/>
            </w:pPr>
            <w:r/>
            <w:r>
              <w:rPr>
                <w:sz w:val="20"/>
              </w:rPr>
              <w:t>Angie Massiel González Rivera</w:t>
            </w:r>
          </w:p>
        </w:tc>
        <w:tc>
          <w:tcPr>
            <w:tcW w:type="dxa" w:w="3685"/>
            <w:tcBorders>
              <w:top w:val="nil"/>
              <w:bottom w:val="nil"/>
              <w:left w:val="nil"/>
              <w:right w:val="nil"/>
            </w:tcBorders>
          </w:tcPr>
          <w:p>
            <w:pPr>
              <w:spacing w:before="60" w:after="60" w:line="240" w:lineRule="auto"/>
            </w:pPr>
            <w:r/>
            <w:r>
              <w:rPr>
                <w:sz w:val="20"/>
              </w:rPr>
              <w:t>El problema y la solución construida</w:t>
            </w:r>
          </w:p>
        </w:tc>
        <w:tc>
          <w:tcPr>
            <w:tcW w:type="dxa" w:w="1474"/>
            <w:tcBorders>
              <w:top w:val="nil"/>
              <w:bottom w:val="nil"/>
              <w:left w:val="nil"/>
              <w:right w:val="nil"/>
            </w:tcBorders>
          </w:tcPr>
          <w:p>
            <w:pPr>
              <w:spacing w:before="60" w:after="60" w:line="240" w:lineRule="auto"/>
            </w:pPr>
            <w:r/>
            <w:r>
              <w:rPr>
                <w:sz w:val="20"/>
              </w:rPr>
              <w:t>1 – 6</w:t>
            </w:r>
          </w:p>
        </w:tc>
        <w:tc>
          <w:tcPr>
            <w:tcW w:type="dxa" w:w="1077"/>
            <w:tcBorders>
              <w:top w:val="nil"/>
              <w:bottom w:val="nil"/>
              <w:left w:val="nil"/>
              <w:right w:val="nil"/>
            </w:tcBorders>
          </w:tcPr>
          <w:p>
            <w:pPr>
              <w:spacing w:before="60" w:after="60" w:line="240" w:lineRule="auto"/>
            </w:pPr>
            <w:r/>
            <w:r>
              <w:rPr>
                <w:sz w:val="20"/>
              </w:rPr>
              <w:t>3 min</w:t>
            </w:r>
          </w:p>
        </w:tc>
      </w:tr>
      <w:tr>
        <w:tc>
          <w:tcPr>
            <w:tcW w:type="dxa" w:w="3402"/>
            <w:tcBorders>
              <w:top w:val="nil"/>
              <w:bottom w:val="nil"/>
              <w:left w:val="nil"/>
              <w:right w:val="nil"/>
            </w:tcBorders>
          </w:tcPr>
          <w:p>
            <w:pPr>
              <w:spacing w:before="60" w:after="60" w:line="240" w:lineRule="auto"/>
            </w:pPr>
            <w:r/>
            <w:r>
              <w:rPr>
                <w:sz w:val="20"/>
              </w:rPr>
              <w:t>Bryan Misael Helena</w:t>
            </w:r>
          </w:p>
        </w:tc>
        <w:tc>
          <w:tcPr>
            <w:tcW w:type="dxa" w:w="3685"/>
            <w:tcBorders>
              <w:top w:val="nil"/>
              <w:bottom w:val="nil"/>
              <w:left w:val="nil"/>
              <w:right w:val="nil"/>
            </w:tcBorders>
          </w:tcPr>
          <w:p>
            <w:pPr>
              <w:spacing w:before="60" w:after="60" w:line="240" w:lineRule="auto"/>
            </w:pPr>
            <w:r/>
            <w:r>
              <w:rPr>
                <w:sz w:val="20"/>
              </w:rPr>
              <w:t>Los hallazgos del análisis</w:t>
            </w:r>
          </w:p>
        </w:tc>
        <w:tc>
          <w:tcPr>
            <w:tcW w:type="dxa" w:w="1474"/>
            <w:tcBorders>
              <w:top w:val="nil"/>
              <w:bottom w:val="nil"/>
              <w:left w:val="nil"/>
              <w:right w:val="nil"/>
            </w:tcBorders>
          </w:tcPr>
          <w:p>
            <w:pPr>
              <w:spacing w:before="60" w:after="60" w:line="240" w:lineRule="auto"/>
            </w:pPr>
            <w:r/>
            <w:r>
              <w:rPr>
                <w:sz w:val="20"/>
              </w:rPr>
              <w:t>7 – 12</w:t>
            </w:r>
          </w:p>
        </w:tc>
        <w:tc>
          <w:tcPr>
            <w:tcW w:type="dxa" w:w="1077"/>
            <w:tcBorders>
              <w:top w:val="nil"/>
              <w:bottom w:val="nil"/>
              <w:left w:val="nil"/>
              <w:right w:val="nil"/>
            </w:tcBorders>
          </w:tcPr>
          <w:p>
            <w:pPr>
              <w:spacing w:before="60" w:after="60" w:line="240" w:lineRule="auto"/>
            </w:pPr>
            <w:r/>
            <w:r>
              <w:rPr>
                <w:sz w:val="20"/>
              </w:rPr>
              <w:t>3 min</w:t>
            </w:r>
          </w:p>
        </w:tc>
      </w:tr>
      <w:tr>
        <w:tc>
          <w:tcPr>
            <w:tcW w:type="dxa" w:w="3402"/>
            <w:tcBorders>
              <w:top w:val="nil"/>
              <w:bottom w:val="nil"/>
              <w:left w:val="nil"/>
              <w:right w:val="nil"/>
            </w:tcBorders>
          </w:tcPr>
          <w:p>
            <w:pPr>
              <w:spacing w:before="60" w:after="60" w:line="240" w:lineRule="auto"/>
            </w:pPr>
            <w:r/>
            <w:r>
              <w:rPr>
                <w:sz w:val="20"/>
              </w:rPr>
              <w:t>Jhonniel García Samboy</w:t>
            </w:r>
          </w:p>
        </w:tc>
        <w:tc>
          <w:tcPr>
            <w:tcW w:type="dxa" w:w="3685"/>
            <w:tcBorders>
              <w:top w:val="nil"/>
              <w:bottom w:val="nil"/>
              <w:left w:val="nil"/>
              <w:right w:val="nil"/>
            </w:tcBorders>
          </w:tcPr>
          <w:p>
            <w:pPr>
              <w:spacing w:before="60" w:after="60" w:line="240" w:lineRule="auto"/>
            </w:pPr>
            <w:r/>
            <w:r>
              <w:rPr>
                <w:sz w:val="20"/>
              </w:rPr>
              <w:t>Recomendaciones, plan de acción y cierre</w:t>
            </w:r>
          </w:p>
        </w:tc>
        <w:tc>
          <w:tcPr>
            <w:tcW w:type="dxa" w:w="1474"/>
            <w:tcBorders>
              <w:top w:val="nil"/>
              <w:bottom w:val="nil"/>
              <w:left w:val="nil"/>
              <w:right w:val="nil"/>
            </w:tcBorders>
          </w:tcPr>
          <w:p>
            <w:pPr>
              <w:spacing w:before="60" w:after="60" w:line="240" w:lineRule="auto"/>
            </w:pPr>
            <w:r/>
            <w:r>
              <w:rPr>
                <w:sz w:val="20"/>
              </w:rPr>
              <w:t>13 – 16</w:t>
            </w:r>
          </w:p>
        </w:tc>
        <w:tc>
          <w:tcPr>
            <w:tcW w:type="dxa" w:w="1077"/>
            <w:tcBorders>
              <w:top w:val="nil"/>
              <w:bottom w:val="nil"/>
              <w:left w:val="nil"/>
              <w:right w:val="nil"/>
            </w:tcBorders>
          </w:tcPr>
          <w:p>
            <w:pPr>
              <w:spacing w:before="60" w:after="60" w:line="240" w:lineRule="auto"/>
            </w:pPr>
            <w:r/>
            <w:r>
              <w:rPr>
                <w:sz w:val="20"/>
              </w:rPr>
              <w:t>2 min</w:t>
            </w:r>
          </w:p>
        </w:tc>
      </w:tr>
      <w:tr>
        <w:tc>
          <w:tcPr>
            <w:tcW w:type="dxa" w:w="3402"/>
            <w:tcBorders>
              <w:top w:val="nil"/>
              <w:bottom w:val="single" w:sz="6" w:color="1B3A6B"/>
              <w:left w:val="nil"/>
              <w:right w:val="nil"/>
            </w:tcBorders>
          </w:tcPr>
          <w:p>
            <w:pPr>
              <w:spacing w:before="60" w:after="60" w:line="240" w:lineRule="auto"/>
            </w:pPr>
            <w:r/>
            <w:r>
              <w:rPr>
                <w:sz w:val="20"/>
              </w:rPr>
              <w:t>Los tres</w:t>
            </w:r>
          </w:p>
        </w:tc>
        <w:tc>
          <w:tcPr>
            <w:tcW w:type="dxa" w:w="3685"/>
            <w:tcBorders>
              <w:top w:val="nil"/>
              <w:bottom w:val="single" w:sz="6" w:color="1B3A6B"/>
              <w:left w:val="nil"/>
              <w:right w:val="nil"/>
            </w:tcBorders>
          </w:tcPr>
          <w:p>
            <w:pPr>
              <w:spacing w:before="60" w:after="60" w:line="240" w:lineRule="auto"/>
            </w:pPr>
            <w:r/>
            <w:r>
              <w:rPr>
                <w:sz w:val="20"/>
              </w:rPr>
              <w:t>Preguntas del docente</w:t>
            </w:r>
          </w:p>
        </w:tc>
        <w:tc>
          <w:tcPr>
            <w:tcW w:type="dxa" w:w="1474"/>
            <w:tcBorders>
              <w:top w:val="nil"/>
              <w:bottom w:val="single" w:sz="6" w:color="1B3A6B"/>
              <w:left w:val="nil"/>
              <w:right w:val="nil"/>
            </w:tcBorders>
          </w:tcPr>
          <w:p>
            <w:pPr>
              <w:spacing w:before="60" w:after="60" w:line="240" w:lineRule="auto"/>
            </w:pPr>
            <w:r/>
            <w:r>
              <w:rPr>
                <w:sz w:val="20"/>
              </w:rPr>
              <w:t>—</w:t>
            </w:r>
          </w:p>
        </w:tc>
        <w:tc>
          <w:tcPr>
            <w:tcW w:type="dxa" w:w="1077"/>
            <w:tcBorders>
              <w:top w:val="nil"/>
              <w:bottom w:val="single" w:sz="6" w:color="1B3A6B"/>
              <w:left w:val="nil"/>
              <w:right w:val="nil"/>
            </w:tcBorders>
          </w:tcPr>
          <w:p>
            <w:pPr>
              <w:spacing w:before="60" w:after="60" w:line="240" w:lineRule="auto"/>
            </w:pPr>
            <w:r/>
            <w:r>
              <w:rPr>
                <w:sz w:val="20"/>
              </w:rPr>
              <w:t>2 min</w:t>
            </w:r>
          </w:p>
        </w:tc>
      </w:tr>
    </w:tbl>
    <w:p/>
    <w:p>
      <w:pPr>
        <w:spacing w:before="240" w:after="80"/>
        <w:jc w:val="left"/>
      </w:pPr>
      <w:r>
        <w:rPr>
          <w:b/>
          <w:i w:val="0"/>
          <w:color w:val="1B3A6B"/>
          <w:sz w:val="24"/>
        </w:rPr>
        <w:t>Cómo usar este libreto</w:t>
      </w:r>
    </w:p>
    <w:p>
      <w:pPr>
        <w:spacing w:before="0" w:after="80"/>
        <w:jc w:val="left"/>
      </w:pPr>
      <w:r>
        <w:rPr>
          <w:b w:val="0"/>
          <w:i w:val="0"/>
          <w:color w:val="555B66"/>
          <w:sz w:val="21"/>
        </w:rPr>
        <w:t>El texto en párrafos sangrados es lo que se dice en voz alta. No hay que memorizarlo palabra por palabra: la idea es entender el mensaje y decirlo con naturalidad. Las marcas en rojo indican cuándo cambiar de diapositiva. Las notas con 💡 son recordatorios, no se leen.</w:t>
      </w:r>
    </w:p>
    <w:p>
      <w:r>
        <w:br w:type="page"/>
      </w:r>
    </w:p>
    <w:p>
      <w:pPr>
        <w:pStyle w:val="Heading1"/>
      </w:pPr>
      <w:r>
        <w:t>ANGIE — El problema y la solución  (3 minutos)</w:t>
      </w:r>
    </w:p>
    <w:p>
      <w:pPr>
        <w:spacing w:before="0" w:after="200"/>
        <w:jc w:val="left"/>
      </w:pPr>
      <w:r>
        <w:rPr>
          <w:b w:val="0"/>
          <w:i w:val="0"/>
          <w:color w:val="555B66"/>
          <w:sz w:val="21"/>
        </w:rPr>
        <w:t>Diapositivas 1 a 6  ·  Abres la presentación</w:t>
      </w:r>
    </w:p>
    <w:p>
      <w:pPr>
        <w:spacing w:before="200" w:after="60"/>
      </w:pPr>
      <w:r>
        <w:rPr>
          <w:b/>
          <w:color w:val="C0392B"/>
          <w:sz w:val="21"/>
        </w:rPr>
        <w:t>▶  DIAPOSITIVA 1 — Portada</w:t>
      </w:r>
    </w:p>
    <w:p>
      <w:pPr>
        <w:spacing w:after="140" w:line="336" w:lineRule="auto"/>
        <w:ind w:left="454"/>
        <w:jc w:val="left"/>
      </w:pPr>
      <w:r>
        <w:rPr>
          <w:sz w:val="23"/>
        </w:rPr>
        <w:t>Buenas noches. Somos el Grupo 5 y durante este semestre trabajamos como consultores para el Banco Comercial Nacional en un proyecto de optimización de la aprobación de créditos. Yo soy Angie, me acompañan Bryan y Jhonniel, y vamos a presentarles lo que encontramos.</w:t>
      </w:r>
    </w:p>
    <w:p>
      <w:pPr>
        <w:spacing w:before="200" w:after="60"/>
      </w:pPr>
      <w:r>
        <w:rPr>
          <w:b/>
          <w:color w:val="C0392B"/>
          <w:sz w:val="21"/>
        </w:rPr>
        <w:t>▶  DIAPOSITIVA 2 — El problema de negocio</w:t>
      </w:r>
    </w:p>
    <w:p>
      <w:pPr>
        <w:spacing w:after="140" w:line="336" w:lineRule="auto"/>
        <w:ind w:left="454"/>
        <w:jc w:val="left"/>
      </w:pPr>
      <w:r>
        <w:rPr>
          <w:sz w:val="23"/>
        </w:rPr>
        <w:t>El banco nos pidió revisar su proceso de aprobación. Lo que encontramos, en resumen, es que el banco aprueba créditos, pero no de forma uniforme ni predecible.</w:t>
      </w:r>
    </w:p>
    <w:p>
      <w:pPr>
        <w:spacing w:after="140" w:line="336" w:lineRule="auto"/>
        <w:ind w:left="454"/>
        <w:jc w:val="left"/>
      </w:pPr>
      <w:r>
        <w:rPr>
          <w:sz w:val="23"/>
        </w:rPr>
        <w:t>Tres cosas nos llamaron la atención desde el inicio. Primero: el criterio cambia según quién evalúa el expediente. Segundo: el tiempo que tarda una decisión no depende de qué tan difícil sea el caso. Y tercero: el riesgo está muy concentrado en un solo producto.</w:t>
      </w:r>
    </w:p>
    <w:p>
      <w:pPr>
        <w:spacing w:after="140" w:line="336" w:lineRule="auto"/>
        <w:ind w:left="454"/>
        <w:jc w:val="left"/>
      </w:pPr>
      <w:r>
        <w:rPr>
          <w:sz w:val="23"/>
        </w:rPr>
        <w:t>Esto importa porque aprobar mal genera pérdida directa, y rechazar un buen cliente es negocio que se va a la competencia. Y cuando el criterio cambia según quién evalúa, se compromete la equidad frente al cliente.</w:t>
      </w:r>
    </w:p>
    <w:p>
      <w:pPr>
        <w:spacing w:before="200" w:after="60"/>
      </w:pPr>
      <w:r>
        <w:rPr>
          <w:b/>
          <w:color w:val="C0392B"/>
          <w:sz w:val="21"/>
        </w:rPr>
        <w:t>▶  DIAPOSITIVA 3 — Objetivo del proyecto</w:t>
      </w:r>
    </w:p>
    <w:p>
      <w:pPr>
        <w:spacing w:after="140" w:line="336" w:lineRule="auto"/>
        <w:ind w:left="454"/>
        <w:jc w:val="left"/>
      </w:pPr>
      <w:r>
        <w:rPr>
          <w:sz w:val="23"/>
        </w:rPr>
        <w:t>Nuestro objetivo fue analizar ese proceso con técnicas de ciencia de datos para encontrar patrones que sustenten decisiones con evidencia, no con intuición.</w:t>
      </w:r>
    </w:p>
    <w:p>
      <w:pPr>
        <w:spacing w:after="140" w:line="336" w:lineRule="auto"/>
        <w:ind w:left="454"/>
        <w:jc w:val="left"/>
      </w:pPr>
      <w:r>
        <w:rPr>
          <w:sz w:val="23"/>
        </w:rPr>
        <w:t>Trabajamos con 60 solicitudes de crédito, 290 registros en la base de datos, 26 variables y ocho meses de información, de enero a agosto de este año. Usamos tres herramientas: MySQL, Power BI y Python.</w:t>
      </w:r>
    </w:p>
    <w:p>
      <w:pPr>
        <w:spacing w:after="140" w:line="336" w:lineRule="auto"/>
        <w:ind w:left="454"/>
        <w:jc w:val="left"/>
      </w:pPr>
      <w:r>
        <w:rPr>
          <w:sz w:val="23"/>
        </w:rPr>
        <w:t>Es importante aclarar el alcance: esto es un análisis descriptivo. No construimos modelos predictivos.</w:t>
      </w:r>
    </w:p>
    <w:p>
      <w:pPr>
        <w:spacing w:after="160"/>
        <w:ind w:left="454"/>
      </w:pPr>
      <w:r>
        <w:rPr>
          <w:i/>
          <w:color w:val="555B66"/>
          <w:sz w:val="20"/>
        </w:rPr>
        <w:t>💡 Si el profesor pregunta por qué no hay Machine Learning: el enunciado lo excluye explícitamente y 60 registros no son suficientes para entrenar un modelo confiable.</w:t>
      </w:r>
    </w:p>
    <w:p>
      <w:pPr>
        <w:spacing w:before="200" w:after="60"/>
      </w:pPr>
      <w:r>
        <w:rPr>
          <w:b/>
          <w:color w:val="C0392B"/>
          <w:sz w:val="21"/>
        </w:rPr>
        <w:t>▶  DIAPOSITIVA 4 — Cómo lo abordamos</w:t>
      </w:r>
    </w:p>
    <w:p>
      <w:pPr>
        <w:spacing w:after="140" w:line="336" w:lineRule="auto"/>
        <w:ind w:left="454"/>
        <w:jc w:val="left"/>
      </w:pPr>
      <w:r>
        <w:rPr>
          <w:sz w:val="23"/>
        </w:rPr>
        <w:t>El trabajo se hizo en cinco etapas a lo largo del semestre. Empezamos entendiendo el negocio y definiendo el problema. Luego diseñamos la base de datos con cinco entidades relacionadas. La implementamos en MySQL y cargamos los 290 registros. Con esa base conectada construimos el dashboard en Power BI. Y finalmente hicimos el análisis exploratorio en Python, dentro de Google Colab.</w:t>
      </w:r>
    </w:p>
    <w:p>
      <w:pPr>
        <w:spacing w:after="140" w:line="336" w:lineRule="auto"/>
        <w:ind w:left="454"/>
        <w:jc w:val="left"/>
      </w:pPr>
      <w:r>
        <w:rPr>
          <w:sz w:val="23"/>
        </w:rPr>
        <w:t>La Inteligencia Artificial nos apoyó en la parte de código: Gemini generó el esqueleto de Pandas y Matplotlib. Pero nosotros verificamos que las columnas existieran, validamos los cálculos e interpretamos qué significaban los resultados para el negocio.</w:t>
      </w:r>
    </w:p>
    <w:p>
      <w:pPr>
        <w:spacing w:before="200" w:after="60"/>
      </w:pPr>
      <w:r>
        <w:rPr>
          <w:b/>
          <w:color w:val="C0392B"/>
          <w:sz w:val="21"/>
        </w:rPr>
        <w:t>▶  DIAPOSITIVA 5 — La base de datos que construimos</w:t>
      </w:r>
    </w:p>
    <w:p>
      <w:pPr>
        <w:spacing w:after="140" w:line="336" w:lineRule="auto"/>
        <w:ind w:left="454"/>
        <w:jc w:val="left"/>
      </w:pPr>
      <w:r>
        <w:rPr>
          <w:sz w:val="23"/>
        </w:rPr>
        <w:t>Esta es la estructura que diseñamos. Cinco tablas relacionadas: el cliente, su solicitud, su historial crediticio, la evaluación de riesgo y la decisión final. En total 290 registros, con llaves foráneas y restricciones de integridad para que no se puedan cargar datos inconsistentes.</w:t>
      </w:r>
    </w:p>
    <w:p>
      <w:pPr>
        <w:spacing w:before="200" w:after="60"/>
      </w:pPr>
      <w:r>
        <w:rPr>
          <w:b/>
          <w:color w:val="C0392B"/>
          <w:sz w:val="21"/>
        </w:rPr>
        <w:t>▶  DIAPOSITIVA 6 — Los datos son confiables</w:t>
      </w:r>
    </w:p>
    <w:p>
      <w:pPr>
        <w:spacing w:after="140" w:line="336" w:lineRule="auto"/>
        <w:ind w:left="454"/>
        <w:jc w:val="left"/>
      </w:pPr>
      <w:r>
        <w:rPr>
          <w:sz w:val="23"/>
        </w:rPr>
        <w:t>Antes de mostrarles los hallazgos, queremos detenernos un momento en esta tabla, porque es la base de todo lo demás.</w:t>
      </w:r>
    </w:p>
    <w:p>
      <w:pPr>
        <w:spacing w:after="140" w:line="336" w:lineRule="auto"/>
        <w:ind w:left="454"/>
        <w:jc w:val="left"/>
      </w:pPr>
      <w:r>
        <w:rPr>
          <w:sz w:val="23"/>
        </w:rPr>
        <w:t>Calculamos los cinco indicadores del proyecto tres veces, por separado: con consultas SQL, con medidas DAX en Power BI, y con código Python. Los tres caminos dieron el mismo resultado. Sesenta solicitudes, noventa y tres punto cinco millones, sesenta y cinco por ciento de aprobación.</w:t>
      </w:r>
    </w:p>
    <w:p>
      <w:pPr>
        <w:spacing w:after="140" w:line="336" w:lineRule="auto"/>
        <w:ind w:left="454"/>
        <w:jc w:val="left"/>
      </w:pPr>
      <w:r>
        <w:rPr>
          <w:sz w:val="23"/>
        </w:rPr>
        <w:t>Eso significa que el dato mantuvo su integridad al atravesar tres herramientas distintas. Todo lo que Bryan les va a mostrar ahora se apoya en esa base.</w:t>
      </w:r>
    </w:p>
    <w:p>
      <w:pPr>
        <w:spacing w:after="160"/>
        <w:ind w:left="454"/>
      </w:pPr>
      <w:r>
        <w:rPr>
          <w:i/>
          <w:color w:val="555B66"/>
          <w:sz w:val="20"/>
        </w:rPr>
        <w:t>💡 Cierre de tu parte. Mira a Bryan y dale el paso.</w:t>
      </w:r>
    </w:p>
    <w:p>
      <w:r>
        <w:br w:type="page"/>
      </w:r>
    </w:p>
    <w:p>
      <w:pPr>
        <w:pStyle w:val="Heading1"/>
      </w:pPr>
      <w:r>
        <w:t>BRYAN — Los hallazgos  (3 minutos)</w:t>
      </w:r>
    </w:p>
    <w:p>
      <w:pPr>
        <w:spacing w:before="0" w:after="200"/>
        <w:jc w:val="left"/>
      </w:pPr>
      <w:r>
        <w:rPr>
          <w:b w:val="0"/>
          <w:i w:val="0"/>
          <w:color w:val="555B66"/>
          <w:sz w:val="21"/>
        </w:rPr>
        <w:t>Diapositivas 7 a 12  ·  La parte más importante de la presentación</w:t>
      </w:r>
    </w:p>
    <w:p>
      <w:pPr>
        <w:spacing w:before="200" w:after="60"/>
      </w:pPr>
      <w:r>
        <w:rPr>
          <w:b/>
          <w:color w:val="C0392B"/>
          <w:sz w:val="21"/>
        </w:rPr>
        <w:t>▶  DIAPOSITIVA 7 — Portadilla — Principales hallazgos</w:t>
      </w:r>
    </w:p>
    <w:p>
      <w:pPr>
        <w:spacing w:after="140" w:line="336" w:lineRule="auto"/>
        <w:ind w:left="454"/>
        <w:jc w:val="left"/>
      </w:pPr>
      <w:r>
        <w:rPr>
          <w:sz w:val="23"/>
        </w:rPr>
        <w:t>Gracias, Angie. Encontramos seis hallazgos. Les voy a mostrar los cinco que más impacto tienen para el banco, y uno que es una buena noticia.</w:t>
      </w:r>
    </w:p>
    <w:p>
      <w:pPr>
        <w:spacing w:before="200" w:after="60"/>
      </w:pPr>
      <w:r>
        <w:rPr>
          <w:b/>
          <w:color w:val="C0392B"/>
          <w:sz w:val="21"/>
        </w:rPr>
        <w:t>▶  DIAPOSITIVA 8 — Hallazgo 1 — Concentración</w:t>
      </w:r>
    </w:p>
    <w:p>
      <w:pPr>
        <w:spacing w:after="140" w:line="336" w:lineRule="auto"/>
        <w:ind w:left="454"/>
        <w:jc w:val="left"/>
      </w:pPr>
      <w:r>
        <w:rPr>
          <w:sz w:val="23"/>
        </w:rPr>
        <w:t>El primero es el más importante en términos de dinero. Calculamos el índice de Gini del monto solicitado y dio cero punto sesenta y dos. Eso indica una concentración muy alta.</w:t>
      </w:r>
    </w:p>
    <w:p>
      <w:pPr>
        <w:spacing w:after="140" w:line="336" w:lineRule="auto"/>
        <w:ind w:left="454"/>
        <w:jc w:val="left"/>
      </w:pPr>
      <w:r>
        <w:rPr>
          <w:sz w:val="23"/>
        </w:rPr>
        <w:t>En la práctica significa esto: el veinte por ciento de las solicitudes concentra el sesenta y cinco por ciento del dinero. Y el préstamo hipotecario, por sí solo, representa el setenta y cinco por ciento del monto total con apenas el veintisiete por ciento de las solicitudes.</w:t>
      </w:r>
    </w:p>
    <w:p>
      <w:pPr>
        <w:spacing w:after="160"/>
        <w:ind w:left="454"/>
      </w:pPr>
      <w:r>
        <w:rPr>
          <w:i/>
          <w:color w:val="555B66"/>
          <w:sz w:val="20"/>
        </w:rPr>
        <w:t>💡 Si preguntan qué es el índice de Gini: es una medida de concentración de 0 a 1. Cero sería reparto perfectamente igual, uno sería que todo está en una sola solicitud.</w:t>
      </w:r>
    </w:p>
    <w:p>
      <w:pPr>
        <w:spacing w:before="200" w:after="60"/>
      </w:pPr>
      <w:r>
        <w:rPr>
          <w:b/>
          <w:color w:val="C0392B"/>
          <w:sz w:val="21"/>
        </w:rPr>
        <w:t>▶  DIAPOSITIVA 9 — Hallazgo 2 — Volumen vs exposición</w:t>
      </w:r>
    </w:p>
    <w:p>
      <w:pPr>
        <w:spacing w:after="140" w:line="336" w:lineRule="auto"/>
        <w:ind w:left="454"/>
        <w:jc w:val="left"/>
      </w:pPr>
      <w:r>
        <w:rPr>
          <w:sz w:val="23"/>
        </w:rPr>
        <w:t>Este gráfico lo deja claro. El préstamo hipotecario y la tarjeta de crédito reciben exactamente el mismo número de solicitudes: dieciséis cada uno. Pero el hipotecario promedia cuatro millones cuatrocientos mil pesos y la tarjeta ochenta mil. Una diferencia de cincuenta y cinco veces.</w:t>
      </w:r>
    </w:p>
    <w:p>
      <w:pPr>
        <w:spacing w:after="140" w:line="336" w:lineRule="auto"/>
        <w:ind w:left="454"/>
        <w:jc w:val="left"/>
      </w:pPr>
      <w:r>
        <w:rPr>
          <w:sz w:val="23"/>
        </w:rPr>
        <w:t>Y observen el patrón: mientras mayor es el monto promedio del producto, mayor es su riesgo y menor su tasa de aprobación. Es consistente en los cinco productos.</w:t>
      </w:r>
    </w:p>
    <w:p>
      <w:pPr>
        <w:spacing w:before="200" w:after="60"/>
      </w:pPr>
      <w:r>
        <w:rPr>
          <w:b/>
          <w:color w:val="C0392B"/>
          <w:sz w:val="21"/>
        </w:rPr>
        <w:t>▶  DIAPOSITIVA 10 — Hallazgo 3 — Inconsistencia entre analistas</w:t>
      </w:r>
    </w:p>
    <w:p>
      <w:pPr>
        <w:spacing w:after="140" w:line="336" w:lineRule="auto"/>
        <w:ind w:left="454"/>
        <w:jc w:val="left"/>
      </w:pPr>
      <w:r>
        <w:rPr>
          <w:sz w:val="23"/>
        </w:rPr>
        <w:t>Este es el hallazgo que más nos sorprendió. Comparamos cada analista con el riesgo promedio de los casos que atiende.</w:t>
      </w:r>
    </w:p>
    <w:p>
      <w:pPr>
        <w:spacing w:after="140" w:line="336" w:lineRule="auto"/>
        <w:ind w:left="454"/>
        <w:jc w:val="left"/>
      </w:pPr>
      <w:r>
        <w:rPr>
          <w:sz w:val="23"/>
        </w:rPr>
        <w:t>Miren estos dos. M. Fernández atiende una cartera con riesgo cero punto treinta y uno y aprueba el sesenta y siete por ciento. A. Guzmán atiende un riesgo prácticamente igual, cero punto treinta, y aprueba el cuarenta y tres por ciento. Casi veinticuatro puntos de diferencia con expedientes equivalentes.</w:t>
      </w:r>
    </w:p>
    <w:p>
      <w:pPr>
        <w:spacing w:after="140" w:line="336" w:lineRule="auto"/>
        <w:ind w:left="454"/>
        <w:jc w:val="left"/>
      </w:pPr>
      <w:r>
        <w:rPr>
          <w:sz w:val="23"/>
        </w:rPr>
        <w:t>Eso significa que dos clientes con el mismo perfil pueden recibir respuestas distintas según a quién le toque evaluarlos.</w:t>
      </w:r>
    </w:p>
    <w:p>
      <w:pPr>
        <w:spacing w:before="200" w:after="60"/>
      </w:pPr>
      <w:r>
        <w:rPr>
          <w:b/>
          <w:color w:val="C0392B"/>
          <w:sz w:val="21"/>
        </w:rPr>
        <w:t>▶  DIAPOSITIVA 11 — Hallazgos 4 y 5 — Tiempo y canales</w:t>
      </w:r>
    </w:p>
    <w:p>
      <w:pPr>
        <w:spacing w:after="140" w:line="336" w:lineRule="auto"/>
        <w:ind w:left="454"/>
        <w:jc w:val="left"/>
      </w:pPr>
      <w:r>
        <w:rPr>
          <w:sz w:val="23"/>
        </w:rPr>
        <w:t>El cuarto hallazgo: medimos si el tiempo de decisión tiene relación con la dificultad del caso. Las correlaciones son cero punto cero cuatro con el monto, y prácticamente cero con el riesgo. Es decir, ninguna relación.</w:t>
      </w:r>
    </w:p>
    <w:p>
      <w:pPr>
        <w:spacing w:after="140" w:line="336" w:lineRule="auto"/>
        <w:ind w:left="454"/>
        <w:jc w:val="left"/>
      </w:pPr>
      <w:r>
        <w:rPr>
          <w:sz w:val="23"/>
        </w:rPr>
        <w:t>Un crédito hipotecario de seis millones no toma más tiempo que una tarjeta de treinta mil. Eso nos dice que la demora es operativa, no técnica. Y eso en realidad es una buena noticia, porque se puede arreglar sin tocar los criterios de riesgo.</w:t>
      </w:r>
    </w:p>
    <w:p>
      <w:pPr>
        <w:spacing w:after="140" w:line="336" w:lineRule="auto"/>
        <w:ind w:left="454"/>
        <w:jc w:val="left"/>
      </w:pPr>
      <w:r>
        <w:rPr>
          <w:sz w:val="23"/>
        </w:rPr>
        <w:t>El quinto: el canal más lento resultó ser la aplicación móvil, con ocho días. Más lento que la sucursal física. Mientras la banca en línea resuelve en cinco punto seis. Los dos canales digitales en extremos opuestos nos dice que el problema no está en la captura sino en lo que pasa después.</w:t>
      </w:r>
    </w:p>
    <w:p>
      <w:pPr>
        <w:spacing w:before="200" w:after="60"/>
      </w:pPr>
      <w:r>
        <w:rPr>
          <w:b/>
          <w:color w:val="C0392B"/>
          <w:sz w:val="21"/>
        </w:rPr>
        <w:t>▶  DIAPOSITIVA 12 — Hallazgo 6 — El modelo funciona</w:t>
      </w:r>
    </w:p>
    <w:p>
      <w:pPr>
        <w:spacing w:after="140" w:line="336" w:lineRule="auto"/>
        <w:ind w:left="454"/>
        <w:jc w:val="left"/>
      </w:pPr>
      <w:r>
        <w:rPr>
          <w:sz w:val="23"/>
        </w:rPr>
        <w:t>Y cierro con la buena noticia. Cruzamos la categoría de riesgo con el resultado de la decisión y el comportamiento es impecable: el cien por ciento de las solicitudes de riesgo bajo fue aprobado, y el cien por ciento de las de riesgo muy alto fue rechazado. Sin una sola excepción.</w:t>
      </w:r>
    </w:p>
    <w:p>
      <w:pPr>
        <w:spacing w:after="140" w:line="336" w:lineRule="auto"/>
        <w:ind w:left="454"/>
        <w:jc w:val="left"/>
      </w:pPr>
      <w:r>
        <w:rPr>
          <w:sz w:val="23"/>
        </w:rPr>
        <w:t>Esto es clave: el banco ya tiene una herramienta de evaluación que funciona. El problema no es el modelo de riesgo. El problema es la consistencia con que se aplica su resultado.</w:t>
      </w:r>
    </w:p>
    <w:p>
      <w:pPr>
        <w:spacing w:after="160"/>
        <w:ind w:left="454"/>
      </w:pPr>
      <w:r>
        <w:rPr>
          <w:i/>
          <w:color w:val="555B66"/>
          <w:sz w:val="20"/>
        </w:rPr>
        <w:t>💡 Cierre de tu parte. Pasa a Jhonniel.</w:t>
      </w:r>
    </w:p>
    <w:p>
      <w:r>
        <w:br w:type="page"/>
      </w:r>
    </w:p>
    <w:p>
      <w:pPr>
        <w:pStyle w:val="Heading1"/>
      </w:pPr>
      <w:r>
        <w:t>JHONNIEL — Recomendaciones y cierre  (2 minutos)</w:t>
      </w:r>
    </w:p>
    <w:p>
      <w:pPr>
        <w:spacing w:before="0" w:after="200"/>
        <w:jc w:val="left"/>
      </w:pPr>
      <w:r>
        <w:rPr>
          <w:b w:val="0"/>
          <w:i w:val="0"/>
          <w:color w:val="555B66"/>
          <w:sz w:val="21"/>
        </w:rPr>
        <w:t>Diapositivas 13 a 16  ·  Cierras la presentación</w:t>
      </w:r>
    </w:p>
    <w:p>
      <w:pPr>
        <w:spacing w:before="200" w:after="60"/>
      </w:pPr>
      <w:r>
        <w:rPr>
          <w:b/>
          <w:color w:val="C0392B"/>
          <w:sz w:val="21"/>
        </w:rPr>
        <w:t>▶  DIAPOSITIVA 13 — Qué recomendamos</w:t>
      </w:r>
    </w:p>
    <w:p>
      <w:pPr>
        <w:spacing w:after="140" w:line="336" w:lineRule="auto"/>
        <w:ind w:left="454"/>
        <w:jc w:val="left"/>
      </w:pPr>
      <w:r>
        <w:rPr>
          <w:sz w:val="23"/>
        </w:rPr>
        <w:t>Gracias, Bryan. Con base en esos hallazgos proponemos seis recomendaciones.</w:t>
      </w:r>
    </w:p>
    <w:p>
      <w:pPr>
        <w:spacing w:after="140" w:line="336" w:lineRule="auto"/>
        <w:ind w:left="454"/>
        <w:jc w:val="left"/>
      </w:pPr>
      <w:r>
        <w:rPr>
          <w:sz w:val="23"/>
        </w:rPr>
        <w:t>La primera y más importante: una tarjeta de puntuación formal que traduzca el score de riesgo en una decisión reglada. Eso ataca directamente los veinticuatro puntos de dispersión entre analistas.</w:t>
      </w:r>
    </w:p>
    <w:p>
      <w:pPr>
        <w:spacing w:after="140" w:line="336" w:lineRule="auto"/>
        <w:ind w:left="454"/>
        <w:jc w:val="left"/>
      </w:pPr>
      <w:r>
        <w:rPr>
          <w:sz w:val="23"/>
        </w:rPr>
        <w:t>La segunda: tramos de aprobación diferenciados por monto. Ocho solicitudes concentran casi la mitad del capital; no pueden seguir el mismo flujo que un crédito de veintisiete mil pesos.</w:t>
      </w:r>
    </w:p>
    <w:p>
      <w:pPr>
        <w:spacing w:after="140" w:line="336" w:lineRule="auto"/>
        <w:ind w:left="454"/>
        <w:jc w:val="left"/>
      </w:pPr>
      <w:r>
        <w:rPr>
          <w:sz w:val="23"/>
        </w:rPr>
        <w:t>Las otras cuatro: rediseñar el flujo digital, ampliar la decisión automática, revisar la política del hipotecario e institucionalizar el dashboard como seguimiento mensual.</w:t>
      </w:r>
    </w:p>
    <w:p>
      <w:pPr>
        <w:spacing w:before="200" w:after="60"/>
      </w:pPr>
      <w:r>
        <w:rPr>
          <w:b/>
          <w:color w:val="C0392B"/>
          <w:sz w:val="21"/>
        </w:rPr>
        <w:t>▶  DIAPOSITIVA 14 — Plan de acción</w:t>
      </w:r>
    </w:p>
    <w:p>
      <w:pPr>
        <w:spacing w:after="140" w:line="336" w:lineRule="auto"/>
        <w:ind w:left="454"/>
        <w:jc w:val="left"/>
      </w:pPr>
      <w:r>
        <w:rPr>
          <w:sz w:val="23"/>
        </w:rPr>
        <w:t>Las organizamos en tres horizontes.</w:t>
      </w:r>
    </w:p>
    <w:p>
      <w:pPr>
        <w:spacing w:after="140" w:line="336" w:lineRule="auto"/>
        <w:ind w:left="454"/>
        <w:jc w:val="left"/>
      </w:pPr>
      <w:r>
        <w:rPr>
          <w:sz w:val="23"/>
        </w:rPr>
        <w:t>En el corto plazo, de cero a tres meses, cosas que se pueden hacer ya: sesiones de calibración entre los analistas y adoptar el dashboard como reporte mensual.</w:t>
      </w:r>
    </w:p>
    <w:p>
      <w:pPr>
        <w:spacing w:after="140" w:line="336" w:lineRule="auto"/>
        <w:ind w:left="454"/>
        <w:jc w:val="left"/>
      </w:pPr>
      <w:r>
        <w:rPr>
          <w:sz w:val="23"/>
        </w:rPr>
        <w:t>En el mediano plazo, la tarjeta de puntuación, los tramos por monto y el rediseño del flujo digital.</w:t>
      </w:r>
    </w:p>
    <w:p>
      <w:pPr>
        <w:spacing w:after="140" w:line="336" w:lineRule="auto"/>
        <w:ind w:left="454"/>
        <w:jc w:val="left"/>
      </w:pPr>
      <w:r>
        <w:rPr>
          <w:sz w:val="23"/>
        </w:rPr>
        <w:t>Y en el largo plazo, ampliar la automatización y diversificar la cartera para reducir esa concentración.</w:t>
      </w:r>
    </w:p>
    <w:p>
      <w:pPr>
        <w:spacing w:after="140" w:line="336" w:lineRule="auto"/>
        <w:ind w:left="454"/>
        <w:jc w:val="left"/>
      </w:pPr>
      <w:r>
        <w:rPr>
          <w:sz w:val="23"/>
        </w:rPr>
        <w:t>Quiero subrayar algo: ninguna de estas medidas requiere inversión tecnológica nueva. Todas se apoyan en el modelo de riesgo que el banco ya tiene y que, como vimos, funciona.</w:t>
      </w:r>
    </w:p>
    <w:p>
      <w:pPr>
        <w:spacing w:before="200" w:after="60"/>
      </w:pPr>
      <w:r>
        <w:rPr>
          <w:b/>
          <w:color w:val="C0392B"/>
          <w:sz w:val="21"/>
        </w:rPr>
        <w:t>▶  DIAPOSITIVA 15 — Evidencia del trabajo</w:t>
      </w:r>
    </w:p>
    <w:p>
      <w:pPr>
        <w:spacing w:after="140" w:line="336" w:lineRule="auto"/>
        <w:ind w:left="454"/>
        <w:jc w:val="left"/>
      </w:pPr>
      <w:r>
        <w:rPr>
          <w:sz w:val="23"/>
        </w:rPr>
        <w:t>Aquí está la evidencia de lo que construimos durante el semestre: el dashboard en Power BI, el notebook ejecutado en Google Colab y los análisis estadísticos que respaldan cada número que les presentamos.</w:t>
      </w:r>
    </w:p>
    <w:p>
      <w:pPr>
        <w:spacing w:after="160"/>
        <w:ind w:left="454"/>
      </w:pPr>
      <w:r>
        <w:rPr>
          <w:i/>
          <w:color w:val="555B66"/>
          <w:sz w:val="20"/>
        </w:rPr>
        <w:t>💡 Esta diapositiva es de apoyo. Si vas justo de tiempo, pásala rápido.</w:t>
      </w:r>
    </w:p>
    <w:p>
      <w:pPr>
        <w:spacing w:before="200" w:after="60"/>
      </w:pPr>
      <w:r>
        <w:rPr>
          <w:b/>
          <w:color w:val="C0392B"/>
          <w:sz w:val="21"/>
        </w:rPr>
        <w:t>▶  DIAPOSITIVA 16 — Cierre</w:t>
      </w:r>
    </w:p>
    <w:p>
      <w:pPr>
        <w:spacing w:after="140" w:line="336" w:lineRule="auto"/>
        <w:ind w:left="454"/>
        <w:jc w:val="left"/>
      </w:pPr>
      <w:r>
        <w:rPr>
          <w:sz w:val="23"/>
        </w:rPr>
        <w:t>Para cerrar, la lección del proyecto en una frase: el banco ya tenía los datos y ya tenía un modelo de riesgo que funciona. Lo que faltaba era mirarlos en conjunto.</w:t>
      </w:r>
    </w:p>
    <w:p>
      <w:pPr>
        <w:spacing w:after="140" w:line="336" w:lineRule="auto"/>
        <w:ind w:left="454"/>
        <w:jc w:val="left"/>
      </w:pPr>
      <w:r>
        <w:rPr>
          <w:sz w:val="23"/>
        </w:rPr>
        <w:t>Ninguno de nuestros hallazgos requirió técnicas avanzadas. Bastó estadística descriptiva aplicada con criterio y traducida a lenguaje de negocio.</w:t>
      </w:r>
    </w:p>
    <w:p>
      <w:pPr>
        <w:spacing w:after="140" w:line="336" w:lineRule="auto"/>
        <w:ind w:left="454"/>
        <w:jc w:val="left"/>
      </w:pPr>
      <w:r>
        <w:rPr>
          <w:sz w:val="23"/>
        </w:rPr>
        <w:t>Muchas gracias. Quedamos atentos a sus preguntas.</w:t>
      </w:r>
    </w:p>
    <w:p>
      <w:r>
        <w:br w:type="page"/>
      </w:r>
    </w:p>
    <w:p>
      <w:pPr>
        <w:pStyle w:val="Heading1"/>
      </w:pPr>
      <w:r>
        <w:t>Preparación para las preguntas  (2 minutos)</w:t>
      </w:r>
    </w:p>
    <w:p>
      <w:pPr>
        <w:spacing w:before="0" w:after="200"/>
        <w:jc w:val="left"/>
      </w:pPr>
      <w:r>
        <w:rPr>
          <w:b w:val="0"/>
          <w:i w:val="0"/>
          <w:color w:val="555B66"/>
          <w:sz w:val="21"/>
        </w:rPr>
        <w:t>El profesor asume el rol de Alta Dirección y puede preguntar sobre cualquier etapa. Todos deben poder responder lo básico de todo, pero cada quien lidera su área.</w:t>
      </w:r>
    </w:p>
    <w:p>
      <w:pPr>
        <w:pStyle w:val="Heading2"/>
      </w:pPr>
      <w:r>
        <w:t>Quién responde qué</w:t>
      </w:r>
    </w:p>
    <w:tbl>
      <w:tblPr>
        <w:tblW w:type="auto" w:w="0"/>
        <w:jc w:val="center"/>
        <w:tblLook w:firstColumn="1" w:firstRow="1" w:lastColumn="0" w:lastRow="0" w:noHBand="0" w:noVBand="1" w:val="04A0"/>
      </w:tblPr>
      <w:tblGrid>
        <w:gridCol w:w="3249"/>
        <w:gridCol w:w="3249"/>
        <w:gridCol w:w="3249"/>
      </w:tblGrid>
      <w:tr>
        <w:tc>
          <w:tcPr>
            <w:tcW w:type="dxa" w:w="2948"/>
            <w:tcBorders>
              <w:top w:val="single" w:sz="6" w:color="1B3A6B"/>
              <w:bottom w:val="single" w:sz="6" w:color="1B3A6B"/>
              <w:left w:val="nil"/>
              <w:right w:val="nil"/>
            </w:tcBorders>
          </w:tcPr>
          <w:p>
            <w:pPr>
              <w:spacing w:before="60" w:after="60" w:line="240" w:lineRule="auto"/>
            </w:pPr>
            <w:r/>
            <w:r>
              <w:rPr>
                <w:b/>
                <w:color w:val="1B3A6B"/>
                <w:sz w:val="20"/>
              </w:rPr>
              <w:t>Si preguntan sobre...</w:t>
            </w:r>
          </w:p>
        </w:tc>
        <w:tc>
          <w:tcPr>
            <w:tcW w:type="dxa" w:w="1928"/>
            <w:tcBorders>
              <w:top w:val="single" w:sz="6" w:color="1B3A6B"/>
              <w:bottom w:val="single" w:sz="6" w:color="1B3A6B"/>
              <w:left w:val="nil"/>
              <w:right w:val="nil"/>
            </w:tcBorders>
          </w:tcPr>
          <w:p>
            <w:pPr>
              <w:spacing w:before="60" w:after="60" w:line="240" w:lineRule="auto"/>
            </w:pPr>
            <w:r/>
            <w:r>
              <w:rPr>
                <w:b/>
                <w:color w:val="1B3A6B"/>
                <w:sz w:val="20"/>
              </w:rPr>
              <w:t>Responde</w:t>
            </w:r>
          </w:p>
        </w:tc>
        <w:tc>
          <w:tcPr>
            <w:tcW w:type="dxa" w:w="4762"/>
            <w:tcBorders>
              <w:top w:val="single" w:sz="6" w:color="1B3A6B"/>
              <w:bottom w:val="single" w:sz="6" w:color="1B3A6B"/>
              <w:left w:val="nil"/>
              <w:right w:val="nil"/>
            </w:tcBorders>
          </w:tcPr>
          <w:p>
            <w:pPr>
              <w:spacing w:before="60" w:after="60" w:line="240" w:lineRule="auto"/>
            </w:pPr>
            <w:r/>
            <w:r>
              <w:rPr>
                <w:b/>
                <w:color w:val="1B3A6B"/>
                <w:sz w:val="20"/>
              </w:rPr>
              <w:t>Idea clave</w:t>
            </w:r>
          </w:p>
        </w:tc>
      </w:tr>
      <w:tr>
        <w:tc>
          <w:tcPr>
            <w:tcW w:type="dxa" w:w="2948"/>
            <w:tcBorders>
              <w:top w:val="nil"/>
              <w:bottom w:val="nil"/>
              <w:left w:val="nil"/>
              <w:right w:val="nil"/>
            </w:tcBorders>
          </w:tcPr>
          <w:p>
            <w:pPr>
              <w:spacing w:before="60" w:after="60" w:line="240" w:lineRule="auto"/>
            </w:pPr>
            <w:r/>
            <w:r>
              <w:rPr>
                <w:sz w:val="20"/>
              </w:rPr>
              <w:t>El problema de negocio</w:t>
            </w:r>
          </w:p>
        </w:tc>
        <w:tc>
          <w:tcPr>
            <w:tcW w:type="dxa" w:w="1928"/>
            <w:tcBorders>
              <w:top w:val="nil"/>
              <w:bottom w:val="nil"/>
              <w:left w:val="nil"/>
              <w:right w:val="nil"/>
            </w:tcBorders>
          </w:tcPr>
          <w:p>
            <w:pPr>
              <w:spacing w:before="60" w:after="60" w:line="240" w:lineRule="auto"/>
            </w:pPr>
            <w:r/>
            <w:r>
              <w:rPr>
                <w:sz w:val="20"/>
              </w:rPr>
              <w:t>Angie</w:t>
            </w:r>
          </w:p>
        </w:tc>
        <w:tc>
          <w:tcPr>
            <w:tcW w:type="dxa" w:w="4762"/>
            <w:tcBorders>
              <w:top w:val="nil"/>
              <w:bottom w:val="nil"/>
              <w:left w:val="nil"/>
              <w:right w:val="nil"/>
            </w:tcBorders>
          </w:tcPr>
          <w:p>
            <w:pPr>
              <w:spacing w:before="60" w:after="60" w:line="240" w:lineRule="auto"/>
            </w:pPr>
            <w:r/>
            <w:r>
              <w:rPr>
                <w:sz w:val="20"/>
              </w:rPr>
              <w:t>Criterio no uniforme, tiempo no predecible, riesgo concentrado</w:t>
            </w:r>
          </w:p>
        </w:tc>
      </w:tr>
      <w:tr>
        <w:tc>
          <w:tcPr>
            <w:tcW w:type="dxa" w:w="2948"/>
            <w:tcBorders>
              <w:top w:val="nil"/>
              <w:bottom w:val="nil"/>
              <w:left w:val="nil"/>
              <w:right w:val="nil"/>
            </w:tcBorders>
          </w:tcPr>
          <w:p>
            <w:pPr>
              <w:spacing w:before="60" w:after="60" w:line="240" w:lineRule="auto"/>
            </w:pPr>
            <w:r/>
            <w:r>
              <w:rPr>
                <w:sz w:val="20"/>
              </w:rPr>
              <w:t>Diseño de la base / MySQL</w:t>
            </w:r>
          </w:p>
        </w:tc>
        <w:tc>
          <w:tcPr>
            <w:tcW w:type="dxa" w:w="1928"/>
            <w:tcBorders>
              <w:top w:val="nil"/>
              <w:bottom w:val="nil"/>
              <w:left w:val="nil"/>
              <w:right w:val="nil"/>
            </w:tcBorders>
          </w:tcPr>
          <w:p>
            <w:pPr>
              <w:spacing w:before="60" w:after="60" w:line="240" w:lineRule="auto"/>
            </w:pPr>
            <w:r/>
            <w:r>
              <w:rPr>
                <w:sz w:val="20"/>
              </w:rPr>
              <w:t>Angie</w:t>
            </w:r>
          </w:p>
        </w:tc>
        <w:tc>
          <w:tcPr>
            <w:tcW w:type="dxa" w:w="4762"/>
            <w:tcBorders>
              <w:top w:val="nil"/>
              <w:bottom w:val="nil"/>
              <w:left w:val="nil"/>
              <w:right w:val="nil"/>
            </w:tcBorders>
          </w:tcPr>
          <w:p>
            <w:pPr>
              <w:spacing w:before="60" w:after="60" w:line="240" w:lineRule="auto"/>
            </w:pPr>
            <w:r/>
            <w:r>
              <w:rPr>
                <w:sz w:val="20"/>
              </w:rPr>
              <w:t>5 tablas, 290 registros, llaves foráneas e integridad</w:t>
            </w:r>
          </w:p>
        </w:tc>
      </w:tr>
      <w:tr>
        <w:tc>
          <w:tcPr>
            <w:tcW w:type="dxa" w:w="2948"/>
            <w:tcBorders>
              <w:top w:val="nil"/>
              <w:bottom w:val="nil"/>
              <w:left w:val="nil"/>
              <w:right w:val="nil"/>
            </w:tcBorders>
          </w:tcPr>
          <w:p>
            <w:pPr>
              <w:spacing w:before="60" w:after="60" w:line="240" w:lineRule="auto"/>
            </w:pPr>
            <w:r/>
            <w:r>
              <w:rPr>
                <w:sz w:val="20"/>
              </w:rPr>
              <w:t>Power BI y el dashboard</w:t>
            </w:r>
          </w:p>
        </w:tc>
        <w:tc>
          <w:tcPr>
            <w:tcW w:type="dxa" w:w="1928"/>
            <w:tcBorders>
              <w:top w:val="nil"/>
              <w:bottom w:val="nil"/>
              <w:left w:val="nil"/>
              <w:right w:val="nil"/>
            </w:tcBorders>
          </w:tcPr>
          <w:p>
            <w:pPr>
              <w:spacing w:before="60" w:after="60" w:line="240" w:lineRule="auto"/>
            </w:pPr>
            <w:r/>
            <w:r>
              <w:rPr>
                <w:sz w:val="20"/>
              </w:rPr>
              <w:t>Angie o Jhonniel</w:t>
            </w:r>
          </w:p>
        </w:tc>
        <w:tc>
          <w:tcPr>
            <w:tcW w:type="dxa" w:w="4762"/>
            <w:tcBorders>
              <w:top w:val="nil"/>
              <w:bottom w:val="nil"/>
              <w:left w:val="nil"/>
              <w:right w:val="nil"/>
            </w:tcBorders>
          </w:tcPr>
          <w:p>
            <w:pPr>
              <w:spacing w:before="60" w:after="60" w:line="240" w:lineRule="auto"/>
            </w:pPr>
            <w:r/>
            <w:r>
              <w:rPr>
                <w:sz w:val="20"/>
              </w:rPr>
              <w:t>5 KPI con DAX, 4 visuales y 3 segmentadores</w:t>
            </w:r>
          </w:p>
        </w:tc>
      </w:tr>
      <w:tr>
        <w:tc>
          <w:tcPr>
            <w:tcW w:type="dxa" w:w="2948"/>
            <w:tcBorders>
              <w:top w:val="nil"/>
              <w:bottom w:val="nil"/>
              <w:left w:val="nil"/>
              <w:right w:val="nil"/>
            </w:tcBorders>
          </w:tcPr>
          <w:p>
            <w:pPr>
              <w:spacing w:before="60" w:after="60" w:line="240" w:lineRule="auto"/>
            </w:pPr>
            <w:r/>
            <w:r>
              <w:rPr>
                <w:sz w:val="20"/>
              </w:rPr>
              <w:t>Los hallazgos y las cifras</w:t>
            </w:r>
          </w:p>
        </w:tc>
        <w:tc>
          <w:tcPr>
            <w:tcW w:type="dxa" w:w="1928"/>
            <w:tcBorders>
              <w:top w:val="nil"/>
              <w:bottom w:val="nil"/>
              <w:left w:val="nil"/>
              <w:right w:val="nil"/>
            </w:tcBorders>
          </w:tcPr>
          <w:p>
            <w:pPr>
              <w:spacing w:before="60" w:after="60" w:line="240" w:lineRule="auto"/>
            </w:pPr>
            <w:r/>
            <w:r>
              <w:rPr>
                <w:sz w:val="20"/>
              </w:rPr>
              <w:t>Bryan</w:t>
            </w:r>
          </w:p>
        </w:tc>
        <w:tc>
          <w:tcPr>
            <w:tcW w:type="dxa" w:w="4762"/>
            <w:tcBorders>
              <w:top w:val="nil"/>
              <w:bottom w:val="nil"/>
              <w:left w:val="nil"/>
              <w:right w:val="nil"/>
            </w:tcBorders>
          </w:tcPr>
          <w:p>
            <w:pPr>
              <w:spacing w:before="60" w:after="60" w:line="240" w:lineRule="auto"/>
            </w:pPr>
            <w:r/>
            <w:r>
              <w:rPr>
                <w:sz w:val="20"/>
              </w:rPr>
              <w:t>Gini 0.628, 23.81 puntos entre analistas, correlaciones ~0</w:t>
            </w:r>
          </w:p>
        </w:tc>
      </w:tr>
      <w:tr>
        <w:tc>
          <w:tcPr>
            <w:tcW w:type="dxa" w:w="2948"/>
            <w:tcBorders>
              <w:top w:val="nil"/>
              <w:bottom w:val="nil"/>
              <w:left w:val="nil"/>
              <w:right w:val="nil"/>
            </w:tcBorders>
          </w:tcPr>
          <w:p>
            <w:pPr>
              <w:spacing w:before="60" w:after="60" w:line="240" w:lineRule="auto"/>
            </w:pPr>
            <w:r/>
            <w:r>
              <w:rPr>
                <w:sz w:val="20"/>
              </w:rPr>
              <w:t>Python y Google Colab</w:t>
            </w:r>
          </w:p>
        </w:tc>
        <w:tc>
          <w:tcPr>
            <w:tcW w:type="dxa" w:w="1928"/>
            <w:tcBorders>
              <w:top w:val="nil"/>
              <w:bottom w:val="nil"/>
              <w:left w:val="nil"/>
              <w:right w:val="nil"/>
            </w:tcBorders>
          </w:tcPr>
          <w:p>
            <w:pPr>
              <w:spacing w:before="60" w:after="60" w:line="240" w:lineRule="auto"/>
            </w:pPr>
            <w:r/>
            <w:r>
              <w:rPr>
                <w:sz w:val="20"/>
              </w:rPr>
              <w:t>Bryan</w:t>
            </w:r>
          </w:p>
        </w:tc>
        <w:tc>
          <w:tcPr>
            <w:tcW w:type="dxa" w:w="4762"/>
            <w:tcBorders>
              <w:top w:val="nil"/>
              <w:bottom w:val="nil"/>
              <w:left w:val="nil"/>
              <w:right w:val="nil"/>
            </w:tcBorders>
          </w:tcPr>
          <w:p>
            <w:pPr>
              <w:spacing w:before="60" w:after="60" w:line="240" w:lineRule="auto"/>
            </w:pPr>
            <w:r/>
            <w:r>
              <w:rPr>
                <w:sz w:val="20"/>
              </w:rPr>
              <w:t>Pandas y Matplotlib; EDA y 5 visualizaciones</w:t>
            </w:r>
          </w:p>
        </w:tc>
      </w:tr>
      <w:tr>
        <w:tc>
          <w:tcPr>
            <w:tcW w:type="dxa" w:w="2948"/>
            <w:tcBorders>
              <w:top w:val="nil"/>
              <w:bottom w:val="nil"/>
              <w:left w:val="nil"/>
              <w:right w:val="nil"/>
            </w:tcBorders>
          </w:tcPr>
          <w:p>
            <w:pPr>
              <w:spacing w:before="60" w:after="60" w:line="240" w:lineRule="auto"/>
            </w:pPr>
            <w:r/>
            <w:r>
              <w:rPr>
                <w:sz w:val="20"/>
              </w:rPr>
              <w:t>Uso de la IA</w:t>
            </w:r>
          </w:p>
        </w:tc>
        <w:tc>
          <w:tcPr>
            <w:tcW w:type="dxa" w:w="1928"/>
            <w:tcBorders>
              <w:top w:val="nil"/>
              <w:bottom w:val="nil"/>
              <w:left w:val="nil"/>
              <w:right w:val="nil"/>
            </w:tcBorders>
          </w:tcPr>
          <w:p>
            <w:pPr>
              <w:spacing w:before="60" w:after="60" w:line="240" w:lineRule="auto"/>
            </w:pPr>
            <w:r/>
            <w:r>
              <w:rPr>
                <w:sz w:val="20"/>
              </w:rPr>
              <w:t>Cualquiera</w:t>
            </w:r>
          </w:p>
        </w:tc>
        <w:tc>
          <w:tcPr>
            <w:tcW w:type="dxa" w:w="4762"/>
            <w:tcBorders>
              <w:top w:val="nil"/>
              <w:bottom w:val="nil"/>
              <w:left w:val="nil"/>
              <w:right w:val="nil"/>
            </w:tcBorders>
          </w:tcPr>
          <w:p>
            <w:pPr>
              <w:spacing w:before="60" w:after="60" w:line="240" w:lineRule="auto"/>
            </w:pPr>
            <w:r/>
            <w:r>
              <w:rPr>
                <w:sz w:val="20"/>
              </w:rPr>
              <w:t>Generó código; el equipo validó columnas, cálculos e interpretación</w:t>
            </w:r>
          </w:p>
        </w:tc>
      </w:tr>
      <w:tr>
        <w:tc>
          <w:tcPr>
            <w:tcW w:type="dxa" w:w="2948"/>
            <w:tcBorders>
              <w:top w:val="nil"/>
              <w:bottom w:val="single" w:sz="6" w:color="1B3A6B"/>
              <w:left w:val="nil"/>
              <w:right w:val="nil"/>
            </w:tcBorders>
          </w:tcPr>
          <w:p>
            <w:pPr>
              <w:spacing w:before="60" w:after="60" w:line="240" w:lineRule="auto"/>
            </w:pPr>
            <w:r/>
            <w:r>
              <w:rPr>
                <w:sz w:val="20"/>
              </w:rPr>
              <w:t>Recomendaciones y plan</w:t>
            </w:r>
          </w:p>
        </w:tc>
        <w:tc>
          <w:tcPr>
            <w:tcW w:type="dxa" w:w="1928"/>
            <w:tcBorders>
              <w:top w:val="nil"/>
              <w:bottom w:val="single" w:sz="6" w:color="1B3A6B"/>
              <w:left w:val="nil"/>
              <w:right w:val="nil"/>
            </w:tcBorders>
          </w:tcPr>
          <w:p>
            <w:pPr>
              <w:spacing w:before="60" w:after="60" w:line="240" w:lineRule="auto"/>
            </w:pPr>
            <w:r/>
            <w:r>
              <w:rPr>
                <w:sz w:val="20"/>
              </w:rPr>
              <w:t>Jhonniel</w:t>
            </w:r>
          </w:p>
        </w:tc>
        <w:tc>
          <w:tcPr>
            <w:tcW w:type="dxa" w:w="4762"/>
            <w:tcBorders>
              <w:top w:val="nil"/>
              <w:bottom w:val="single" w:sz="6" w:color="1B3A6B"/>
              <w:left w:val="nil"/>
              <w:right w:val="nil"/>
            </w:tcBorders>
          </w:tcPr>
          <w:p>
            <w:pPr>
              <w:spacing w:before="60" w:after="60" w:line="240" w:lineRule="auto"/>
            </w:pPr>
            <w:r/>
            <w:r>
              <w:rPr>
                <w:sz w:val="20"/>
              </w:rPr>
              <w:t>6 recomendaciones en 3 horizontes, sin inversión nueva</w:t>
            </w:r>
          </w:p>
        </w:tc>
      </w:tr>
    </w:tbl>
    <w:p/>
    <w:p>
      <w:pPr>
        <w:pStyle w:val="Heading2"/>
      </w:pPr>
      <w:r>
        <w:t>Preguntas probables y cómo responder</w:t>
      </w:r>
    </w:p>
    <w:p>
      <w:pPr>
        <w:pStyle w:val="Heading3"/>
      </w:pPr>
      <w:r>
        <w:t>¿Por qué solo 60 solicitudes? ¿Es representativo?</w:t>
      </w:r>
    </w:p>
    <w:p>
      <w:pPr>
        <w:spacing w:after="140" w:line="336" w:lineRule="auto"/>
        <w:ind w:left="454"/>
        <w:jc w:val="left"/>
      </w:pPr>
      <w:r>
        <w:rPr>
          <w:sz w:val="23"/>
        </w:rPr>
        <w:t>Es una limitación que reconocemos en el informe. Sesenta registros son suficientes para un análisis descriptivo y para detectar patrones, pero no para inferencia estadística robusta ni para entrenar modelos. Por eso presentamos los hallazgos como patrones observados, no como conclusiones generalizables a toda la cartera del banco.</w:t>
      </w:r>
    </w:p>
    <w:p>
      <w:pPr>
        <w:pStyle w:val="Heading3"/>
      </w:pPr>
      <w:r>
        <w:t>¿Cómo saben que la diferencia entre analistas no es casualidad?</w:t>
      </w:r>
    </w:p>
    <w:p>
      <w:pPr>
        <w:spacing w:after="140" w:line="336" w:lineRule="auto"/>
        <w:ind w:left="454"/>
        <w:jc w:val="left"/>
      </w:pPr>
      <w:r>
        <w:rPr>
          <w:sz w:val="23"/>
        </w:rPr>
        <w:t>No lo probamos estadísticamente, y es honesto decirlo. Lo que sí podemos afirmar es que los dos analistas comparados atienden carteras con riesgo promedio casi idéntico —cero punto treinta y uno contra cero punto treinta— y sus tasas difieren en veinticuatro puntos. Para confirmarlo formalmente haría falta una prueba de hipótesis, que sería el siguiente paso natural del proyecto.</w:t>
      </w:r>
    </w:p>
    <w:p>
      <w:pPr>
        <w:spacing w:after="160"/>
        <w:ind w:left="454"/>
      </w:pPr>
      <w:r>
        <w:rPr>
          <w:i/>
          <w:color w:val="555B66"/>
          <w:sz w:val="20"/>
        </w:rPr>
        <w:t>💡 Esta respuesta demuestra criterio. No inventen significancia estadística que no calcularon.</w:t>
      </w:r>
    </w:p>
    <w:p>
      <w:pPr>
        <w:pStyle w:val="Heading3"/>
      </w:pPr>
      <w:r>
        <w:t>¿Los 93 valores nulos no invalidan el análisis?</w:t>
      </w:r>
    </w:p>
    <w:p>
      <w:pPr>
        <w:spacing w:after="140" w:line="336" w:lineRule="auto"/>
        <w:ind w:left="454"/>
        <w:jc w:val="left"/>
      </w:pPr>
      <w:r>
        <w:rPr>
          <w:sz w:val="23"/>
        </w:rPr>
        <w:t>No, porque son nulos estructurales, no errores. Los veintiún nulos de Monto Aprobado corresponden exactamente a las veintiuna solicitudes rechazadas: un crédito rechazado no tiene monto aprobado. Lo mismo con Motivo de Rechazo, que tiene treinta y nueve nulos, que son las treinta y nueve solicitudes no rechazadas. Lo verificamos uno por uno.</w:t>
      </w:r>
    </w:p>
    <w:p>
      <w:pPr>
        <w:pStyle w:val="Heading3"/>
      </w:pPr>
      <w:r>
        <w:t>¿Qué fue lo más difícil del proyecto?</w:t>
      </w:r>
    </w:p>
    <w:p>
      <w:pPr>
        <w:spacing w:after="140" w:line="336" w:lineRule="auto"/>
        <w:ind w:left="454"/>
        <w:jc w:val="left"/>
      </w:pPr>
      <w:r>
        <w:rPr>
          <w:sz w:val="23"/>
        </w:rPr>
        <w:t>La implementación en MySQL y su conexión con Power BI. Hubo que instalar el conector en el orden correcto. Y un detalle que nos costó: la tabla de evaluaciones tenía setenta registros para sesenta solicitudes, porque diez expedientes fueron evaluados dos veces. Tuvimos que decidir explícitamente cuál evaluación tomar.</w:t>
      </w:r>
    </w:p>
    <w:p>
      <w:pPr>
        <w:pStyle w:val="Heading3"/>
      </w:pPr>
      <w:r>
        <w:t>¿Qué harían diferente?</w:t>
      </w:r>
    </w:p>
    <w:p>
      <w:pPr>
        <w:spacing w:after="140" w:line="336" w:lineRule="auto"/>
        <w:ind w:left="454"/>
        <w:jc w:val="left"/>
      </w:pPr>
      <w:r>
        <w:rPr>
          <w:sz w:val="23"/>
        </w:rPr>
        <w:t>Tres cosas. Definir desde el inicio cómo manejar registros duplicados. Calcular la mediana junto con la media desde el principio, porque reportar solo el promedio de un millón y medio habría dado una imagen falsa cuando la mediana es de seiscientos mil. Y documentar los prompts de la IA desde el día uno.</w:t>
      </w:r>
    </w:p>
    <w:p>
      <w:pPr>
        <w:pStyle w:val="Heading3"/>
      </w:pPr>
      <w:r>
        <w:t>¿Cuánto le costaría al banco implementar esto?</w:t>
      </w:r>
    </w:p>
    <w:p>
      <w:pPr>
        <w:spacing w:after="140" w:line="336" w:lineRule="auto"/>
        <w:ind w:left="454"/>
        <w:jc w:val="left"/>
      </w:pPr>
      <w:r>
        <w:rPr>
          <w:sz w:val="23"/>
        </w:rPr>
        <w:t>No calculamos costos, y no queremos improvisar una cifra. Lo que sí podemos afirmar es que las medidas de corto plazo —las sesiones de calibración y adoptar el dashboard— no requieren inversión tecnológica, solo tiempo del equipo. Y la tarjeta de puntuación se apoya en el modelo de riesgo que el banco ya tiene funcionando.</w:t>
      </w:r>
    </w:p>
    <w:p>
      <w:pPr>
        <w:pStyle w:val="Heading2"/>
      </w:pPr>
      <w:r>
        <w:t>Recomendaciones para la exposición</w:t>
      </w:r>
    </w:p>
    <w:p>
      <w:pPr>
        <w:spacing w:before="0" w:after="60"/>
        <w:jc w:val="left"/>
      </w:pPr>
      <w:r>
        <w:rPr>
          <w:b w:val="0"/>
          <w:i w:val="0"/>
          <w:sz w:val="21"/>
        </w:rPr>
        <w:t>• Ensayen una vez completo con cronómetro. Ocho minutos pasan rápido.</w:t>
      </w:r>
    </w:p>
    <w:p>
      <w:pPr>
        <w:spacing w:before="0" w:after="60"/>
        <w:jc w:val="left"/>
      </w:pPr>
      <w:r>
        <w:rPr>
          <w:b w:val="0"/>
          <w:i w:val="0"/>
          <w:sz w:val="21"/>
        </w:rPr>
        <w:t>• No lean la diapositiva: el jurado la está viendo. Digan lo que la diapositiva no dice.</w:t>
      </w:r>
    </w:p>
    <w:p>
      <w:pPr>
        <w:spacing w:before="0" w:after="60"/>
        <w:jc w:val="left"/>
      </w:pPr>
      <w:r>
        <w:rPr>
          <w:b w:val="0"/>
          <w:i w:val="0"/>
          <w:sz w:val="21"/>
        </w:rPr>
        <w:t>• Los números grandes en voz alta se dicen redondeados: «setenta y cinco por ciento», no «setenta y cinco punto sesenta y nueve».</w:t>
      </w:r>
    </w:p>
    <w:p>
      <w:pPr>
        <w:spacing w:before="0" w:after="60"/>
        <w:jc w:val="left"/>
      </w:pPr>
      <w:r>
        <w:rPr>
          <w:b w:val="0"/>
          <w:i w:val="0"/>
          <w:sz w:val="21"/>
        </w:rPr>
        <w:t>• Si no saben una respuesta, díganlo. «No lo calculamos, pero sería el siguiente paso» es una respuesta profesional válida.</w:t>
      </w:r>
    </w:p>
    <w:p>
      <w:pPr>
        <w:spacing w:before="0" w:after="60"/>
        <w:jc w:val="left"/>
      </w:pPr>
      <w:r>
        <w:rPr>
          <w:b w:val="0"/>
          <w:i w:val="0"/>
          <w:sz w:val="21"/>
        </w:rPr>
        <w:t>• Los tres deben estar atentos durante toda la presentación, no solo en su turno.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jc w:val="left"/>
      <w:outlineLvl w:val="0"/>
    </w:pPr>
    <w:rPr>
      <w:rFonts w:asciiTheme="majorHAnsi" w:eastAsiaTheme="majorEastAsia" w:hAnsiTheme="majorHAnsi" w:cstheme="majorBidi" w:ascii="Calibri" w:hAnsi="Calibr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Theme="majorHAnsi" w:eastAsiaTheme="majorEastAsia" w:hAnsiTheme="majorHAnsi" w:cstheme="majorBidi" w:ascii="Calibri" w:hAnsi="Calibr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rFonts w:asciiTheme="majorHAnsi" w:eastAsiaTheme="majorEastAsia" w:hAnsiTheme="majorHAnsi" w:cstheme="majorBidi" w:ascii="Calibri" w:hAnsi="Calibri"/>
      <w:b/>
      <w:bCs/>
      <w:color w:val="555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