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6988F">
      <w:pPr>
        <w:spacing w:before="0" w:after="0" w:line="480" w:lineRule="auto"/>
      </w:pPr>
    </w:p>
    <w:p w14:paraId="3B8E170B">
      <w:pPr>
        <w:spacing w:before="0" w:after="0" w:line="480" w:lineRule="auto"/>
      </w:pPr>
    </w:p>
    <w:p w14:paraId="3B257880">
      <w:pPr>
        <w:spacing w:before="0" w:after="0" w:line="480" w:lineRule="auto"/>
        <w:jc w:val="center"/>
      </w:pPr>
      <w:r>
        <w:rPr>
          <w:rFonts w:ascii="Times New Roman" w:hAnsi="Times New Roman" w:eastAsia="Times New Roman"/>
          <w:b w:val="0"/>
          <w:i/>
          <w:color w:val="888888"/>
          <w:sz w:val="24"/>
        </w:rPr>
        <w:t xml:space="preserve">[ </w:t>
      </w:r>
      <w:r>
        <w:rPr>
          <w:rFonts w:ascii="Times New Roman" w:hAnsi="Times New Roman" w:eastAsia="Times New Roman"/>
          <w:b w:val="0"/>
          <w:i/>
          <w:color w:val="888888"/>
          <w:sz w:val="24"/>
        </w:rPr>
        <w:drawing>
          <wp:inline distT="0" distB="0" distL="114300" distR="114300">
            <wp:extent cx="2171700" cy="3048000"/>
            <wp:effectExtent l="0" t="0" r="7620" b="0"/>
            <wp:docPr id="2" name="Picture 2" descr="iconUnica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Unicaribe"/>
                    <pic:cNvPicPr>
                      <a:picLocks noChangeAspect="1"/>
                    </pic:cNvPicPr>
                  </pic:nvPicPr>
                  <pic:blipFill>
                    <a:blip r:embed="rId7"/>
                    <a:stretch>
                      <a:fillRect/>
                    </a:stretch>
                  </pic:blipFill>
                  <pic:spPr>
                    <a:xfrm>
                      <a:off x="0" y="0"/>
                      <a:ext cx="2171700" cy="3048000"/>
                    </a:xfrm>
                    <a:prstGeom prst="rect">
                      <a:avLst/>
                    </a:prstGeom>
                  </pic:spPr>
                </pic:pic>
              </a:graphicData>
            </a:graphic>
          </wp:inline>
        </w:drawing>
      </w:r>
      <w:r>
        <w:rPr>
          <w:rFonts w:ascii="Times New Roman" w:hAnsi="Times New Roman" w:eastAsia="Times New Roman"/>
          <w:b w:val="0"/>
          <w:i/>
          <w:color w:val="888888"/>
          <w:sz w:val="24"/>
        </w:rPr>
        <w:t xml:space="preserve"> ]</w:t>
      </w:r>
    </w:p>
    <w:p w14:paraId="73DD9E4A">
      <w:pPr>
        <w:spacing w:before="0" w:after="0" w:line="480" w:lineRule="auto"/>
      </w:pPr>
    </w:p>
    <w:p w14:paraId="0695DA6A">
      <w:pPr>
        <w:spacing w:before="0" w:after="0" w:line="480" w:lineRule="auto"/>
        <w:jc w:val="center"/>
      </w:pPr>
      <w:r>
        <w:rPr>
          <w:rFonts w:ascii="Times New Roman" w:hAnsi="Times New Roman" w:eastAsia="Times New Roman"/>
          <w:b/>
          <w:i w:val="0"/>
          <w:sz w:val="24"/>
        </w:rPr>
        <w:t>Universidad del Caribe (UNICARIBE)</w:t>
      </w:r>
    </w:p>
    <w:p w14:paraId="73DB2294">
      <w:pPr>
        <w:spacing w:before="0" w:after="0" w:line="480" w:lineRule="auto"/>
        <w:jc w:val="center"/>
      </w:pPr>
      <w:r>
        <w:rPr>
          <w:rFonts w:ascii="Times New Roman" w:hAnsi="Times New Roman" w:eastAsia="Times New Roman"/>
          <w:b w:val="0"/>
          <w:i w:val="0"/>
          <w:sz w:val="24"/>
        </w:rPr>
        <w:t>Escuela de Informática</w:t>
      </w:r>
    </w:p>
    <w:p w14:paraId="74A1B560">
      <w:pPr>
        <w:spacing w:before="0" w:after="0" w:line="480" w:lineRule="auto"/>
      </w:pPr>
    </w:p>
    <w:p w14:paraId="14A03682">
      <w:pPr>
        <w:spacing w:before="0" w:after="0" w:line="480" w:lineRule="auto"/>
      </w:pPr>
    </w:p>
    <w:p w14:paraId="680D5B6F">
      <w:pPr>
        <w:spacing w:before="0" w:after="0" w:line="480" w:lineRule="auto"/>
        <w:jc w:val="center"/>
      </w:pPr>
      <w:r>
        <w:rPr>
          <w:rFonts w:ascii="Times New Roman" w:hAnsi="Times New Roman" w:eastAsia="Times New Roman"/>
          <w:b/>
          <w:i w:val="0"/>
          <w:sz w:val="24"/>
        </w:rPr>
        <w:t>Definición del Problema de Negocio para una Solución de Ciencia de Datos Orientada a la Gestión del Riesgo de Crédito</w:t>
      </w:r>
    </w:p>
    <w:p w14:paraId="50DAD550">
      <w:pPr>
        <w:spacing w:before="0" w:after="0" w:line="480" w:lineRule="auto"/>
      </w:pPr>
    </w:p>
    <w:p w14:paraId="6807A73A">
      <w:pPr>
        <w:spacing w:before="0" w:after="0" w:line="480" w:lineRule="auto"/>
      </w:pPr>
    </w:p>
    <w:p w14:paraId="760639B6">
      <w:pPr>
        <w:spacing w:before="0" w:after="0" w:line="480" w:lineRule="auto"/>
        <w:jc w:val="center"/>
      </w:pPr>
      <w:r>
        <w:rPr>
          <w:rFonts w:ascii="Times New Roman" w:hAnsi="Times New Roman" w:eastAsia="Times New Roman"/>
          <w:b w:val="0"/>
          <w:i w:val="0"/>
          <w:sz w:val="24"/>
        </w:rPr>
        <w:t>Integrantes:</w:t>
      </w:r>
    </w:p>
    <w:p w14:paraId="7014B9EA">
      <w:pPr>
        <w:spacing w:before="0" w:after="0" w:line="480" w:lineRule="auto"/>
        <w:jc w:val="center"/>
      </w:pPr>
      <w:r>
        <w:rPr>
          <w:rFonts w:ascii="Times New Roman" w:hAnsi="Times New Roman" w:eastAsia="Times New Roman"/>
          <w:b w:val="0"/>
          <w:i w:val="0"/>
          <w:sz w:val="24"/>
        </w:rPr>
        <w:t>Angie Massiel González Rivera</w:t>
      </w:r>
    </w:p>
    <w:p w14:paraId="23BBEAC3">
      <w:pPr>
        <w:spacing w:before="0" w:after="0" w:line="480" w:lineRule="auto"/>
        <w:jc w:val="center"/>
      </w:pPr>
      <w:r>
        <w:rPr>
          <w:rFonts w:ascii="Times New Roman" w:hAnsi="Times New Roman" w:eastAsia="Times New Roman"/>
          <w:b w:val="0"/>
          <w:i w:val="0"/>
          <w:sz w:val="24"/>
        </w:rPr>
        <w:t>Bryan Misael Helena</w:t>
      </w:r>
    </w:p>
    <w:p w14:paraId="4B45700F">
      <w:pPr>
        <w:spacing w:before="0" w:after="0" w:line="480" w:lineRule="auto"/>
        <w:jc w:val="center"/>
      </w:pPr>
      <w:r>
        <w:rPr>
          <w:rFonts w:ascii="Times New Roman" w:hAnsi="Times New Roman" w:eastAsia="Times New Roman"/>
          <w:b w:val="0"/>
          <w:i w:val="0"/>
          <w:sz w:val="24"/>
        </w:rPr>
        <w:t>Jhonniel García Samboy</w:t>
      </w:r>
    </w:p>
    <w:p w14:paraId="3A1F377C">
      <w:pPr>
        <w:spacing w:before="0" w:after="0" w:line="480" w:lineRule="auto"/>
      </w:pPr>
    </w:p>
    <w:p w14:paraId="03BC97B3">
      <w:pPr>
        <w:spacing w:before="0" w:after="0" w:line="480" w:lineRule="auto"/>
      </w:pPr>
    </w:p>
    <w:p w14:paraId="6ED6583E">
      <w:pPr>
        <w:spacing w:before="0" w:after="0" w:line="480" w:lineRule="auto"/>
        <w:jc w:val="center"/>
      </w:pPr>
      <w:r>
        <w:rPr>
          <w:rFonts w:ascii="Times New Roman" w:hAnsi="Times New Roman" w:eastAsia="Times New Roman"/>
          <w:b w:val="0"/>
          <w:i w:val="0"/>
          <w:sz w:val="24"/>
        </w:rPr>
        <w:t>Asignatura: Introducción a la Ciencia de Datos</w:t>
      </w:r>
    </w:p>
    <w:p w14:paraId="39A17F73">
      <w:pPr>
        <w:spacing w:before="0" w:after="0" w:line="480" w:lineRule="auto"/>
        <w:jc w:val="center"/>
      </w:pPr>
      <w:r>
        <w:rPr>
          <w:rFonts w:ascii="Times New Roman" w:hAnsi="Times New Roman" w:eastAsia="Times New Roman"/>
          <w:b w:val="0"/>
          <w:i w:val="0"/>
          <w:sz w:val="24"/>
        </w:rPr>
        <w:t>Facilitador/a: __________________________</w:t>
      </w:r>
    </w:p>
    <w:p w14:paraId="360E40D9">
      <w:pPr>
        <w:spacing w:before="0" w:after="0" w:line="480" w:lineRule="auto"/>
        <w:jc w:val="center"/>
      </w:pPr>
      <w:r>
        <w:rPr>
          <w:rFonts w:ascii="Times New Roman" w:hAnsi="Times New Roman" w:eastAsia="Times New Roman"/>
          <w:b w:val="0"/>
          <w:i w:val="0"/>
          <w:sz w:val="24"/>
        </w:rPr>
        <w:t>Santo Domingo, República Dominicana</w:t>
      </w:r>
    </w:p>
    <w:p w14:paraId="09E54E09">
      <w:pPr>
        <w:spacing w:before="0" w:after="0" w:line="480" w:lineRule="auto"/>
        <w:jc w:val="center"/>
      </w:pPr>
      <w:r>
        <w:rPr>
          <w:rFonts w:ascii="Times New Roman" w:hAnsi="Times New Roman" w:eastAsia="Times New Roman"/>
          <w:b w:val="0"/>
          <w:i w:val="0"/>
          <w:sz w:val="24"/>
        </w:rPr>
        <w:t>13 de agosto de 2026</w:t>
      </w:r>
    </w:p>
    <w:p w14:paraId="1CA817C2">
      <w:r>
        <w:br w:type="page"/>
      </w:r>
    </w:p>
    <w:p w14:paraId="32468A15">
      <w:pPr>
        <w:spacing w:line="480" w:lineRule="auto"/>
        <w:jc w:val="center"/>
      </w:pPr>
      <w:r>
        <w:rPr>
          <w:rFonts w:ascii="Times New Roman" w:hAnsi="Times New Roman" w:eastAsia="Times New Roman"/>
          <w:b/>
          <w:i w:val="0"/>
          <w:sz w:val="24"/>
        </w:rPr>
        <w:t>Introducción</w:t>
      </w:r>
    </w:p>
    <w:p w14:paraId="685BB911">
      <w:pPr>
        <w:spacing w:before="0" w:after="0" w:line="480" w:lineRule="auto"/>
        <w:ind w:firstLine="720"/>
        <w:jc w:val="both"/>
      </w:pPr>
      <w:r>
        <w:rPr>
          <w:rFonts w:ascii="Times New Roman" w:hAnsi="Times New Roman" w:eastAsia="Times New Roman"/>
          <w:b w:val="0"/>
          <w:i w:val="0"/>
          <w:sz w:val="24"/>
        </w:rPr>
        <w:t>La intermediación financiera constituye la actividad medular de cualquier banco: captar recursos del público y colocarlos en forma de cr</w:t>
      </w:r>
      <w:bookmarkStart w:id="0" w:name="_GoBack"/>
      <w:bookmarkEnd w:id="0"/>
      <w:r>
        <w:rPr>
          <w:rFonts w:ascii="Times New Roman" w:hAnsi="Times New Roman" w:eastAsia="Times New Roman"/>
          <w:b w:val="0"/>
          <w:i w:val="0"/>
          <w:sz w:val="24"/>
        </w:rPr>
        <w:t>édito. En esa colocación reside, al mismo tiempo, la mayor fuente de ingresos y el principal riesgo de la institución. Cada préstamo aprobado incorpora una probabilidad de que el deudor no cumpla con sus obligaciones, y la acumulación de esos incumplimientos deteriora la cartera, obliga a constituir provisiones y compromete la rentabilidad y la solvencia del banco.</w:t>
      </w:r>
    </w:p>
    <w:p w14:paraId="36E3C477">
      <w:pPr>
        <w:spacing w:before="0" w:after="0" w:line="480" w:lineRule="auto"/>
        <w:ind w:firstLine="720"/>
        <w:jc w:val="both"/>
      </w:pPr>
      <w:r>
        <w:rPr>
          <w:rFonts w:ascii="Times New Roman" w:hAnsi="Times New Roman" w:eastAsia="Times New Roman"/>
          <w:b w:val="0"/>
          <w:i w:val="0"/>
          <w:sz w:val="24"/>
        </w:rPr>
        <w:t>El presente informe corresponde a la fase inicial de un proyecto de Ciencia de Datos, la comprensión del negocio dentro de la metodología CRISP-DM. En esta etapa no se definen tablas, variables ni procesos de limpieza de datos; el propósito es delimitar con precisión el problema de negocio que se desea resolver, identificar a los interesados, las decisiones que la solución habrá de apoyar, los indicadores con que se medirá su éxito y los beneficios esperados. El caso seleccionado es la gestión del riesgo de crédito, entendida como la estimación de la probabilidad de incumplimiento (PD, por sus siglas en inglés) de los solicitantes y deudores de la institución.</w:t>
      </w:r>
    </w:p>
    <w:p w14:paraId="33FFF535">
      <w:pPr>
        <w:spacing w:line="480" w:lineRule="auto"/>
        <w:jc w:val="center"/>
      </w:pPr>
      <w:r>
        <w:rPr>
          <w:rFonts w:ascii="Times New Roman" w:hAnsi="Times New Roman" w:eastAsia="Times New Roman"/>
          <w:b/>
          <w:i w:val="0"/>
          <w:sz w:val="24"/>
        </w:rPr>
        <w:t>Planteamiento del Problema: ¿Por qué Representa un Desafío para el Banco?</w:t>
      </w:r>
    </w:p>
    <w:p w14:paraId="761167B9">
      <w:pPr>
        <w:spacing w:before="0" w:after="0" w:line="480" w:lineRule="auto"/>
        <w:ind w:firstLine="720"/>
        <w:jc w:val="both"/>
      </w:pPr>
      <w:r>
        <w:rPr>
          <w:rFonts w:ascii="Times New Roman" w:hAnsi="Times New Roman" w:eastAsia="Times New Roman"/>
          <w:b w:val="0"/>
          <w:i w:val="0"/>
          <w:sz w:val="24"/>
        </w:rPr>
        <w:t>En la actualidad, buena parte de las decisiones de otorgamiento en la banca dominicana descansa en criterios manuales, reglas fijas y en la experiencia del analista de crédito. Este enfoque, además de lento, produce resultados heterogéneos: dos solicitantes con perfiles similares pueden recibir respuestas distintas según quién evalúe el expediente. El desafío, por tanto, no es únicamente tecnológico, sino de negocio, y se manifiesta en varios frentes.</w:t>
      </w:r>
    </w:p>
    <w:p w14:paraId="2E727499">
      <w:pPr>
        <w:spacing w:before="0" w:after="0" w:line="480" w:lineRule="auto"/>
        <w:ind w:firstLine="720"/>
        <w:jc w:val="both"/>
      </w:pPr>
      <w:r>
        <w:rPr>
          <w:rFonts w:ascii="Times New Roman" w:hAnsi="Times New Roman" w:eastAsia="Times New Roman"/>
          <w:b w:val="0"/>
          <w:i w:val="0"/>
          <w:sz w:val="24"/>
        </w:rPr>
        <w:t>En primer lugar está la pérdida económica asociada a la morosidad. Cuando un cliente entra en mora, el banco no solo deja de percibir el capital y los intereses pactados, sino que incurre en costos de cobranza y debe constituir provisiones conforme al Reglamento de Evaluación de Activos de la Superintendencia de Bancos. Estas provisiones inmovilizan recursos que podrían destinarse a nuevas colocaciones.</w:t>
      </w:r>
    </w:p>
    <w:p w14:paraId="4F1F7B09">
      <w:pPr>
        <w:spacing w:before="0" w:after="0" w:line="480" w:lineRule="auto"/>
        <w:ind w:firstLine="720"/>
        <w:jc w:val="both"/>
      </w:pPr>
      <w:r>
        <w:rPr>
          <w:rFonts w:ascii="Times New Roman" w:hAnsi="Times New Roman" w:eastAsia="Times New Roman"/>
          <w:b w:val="0"/>
          <w:i w:val="0"/>
          <w:sz w:val="24"/>
        </w:rPr>
        <w:t>En segundo lugar, la decisión de crédito conlleva un doble error de costo asimétrico. Aprobar a un solicitante que finalmente no paga (falso positivo) genera una pérdida directa; pero rechazar a un buen pagador (falso negativo) representa un ingreso no percibido y, con frecuencia, la migración de ese cliente hacia la competencia. Equilibrar ambos errores con criterios subjetivos resulta prácticamente inviable a escala.</w:t>
      </w:r>
    </w:p>
    <w:p w14:paraId="014AB5E8">
      <w:pPr>
        <w:spacing w:before="0" w:after="0" w:line="480" w:lineRule="auto"/>
        <w:ind w:firstLine="720"/>
        <w:jc w:val="both"/>
      </w:pPr>
      <w:r>
        <w:rPr>
          <w:rFonts w:ascii="Times New Roman" w:hAnsi="Times New Roman" w:eastAsia="Times New Roman"/>
          <w:b w:val="0"/>
          <w:i w:val="0"/>
          <w:sz w:val="24"/>
        </w:rPr>
        <w:t>A ello se suman la presión regulatoria y la exigencia de trazabilidad. Los Acuerdos de Basilea y la normativa local requieren que la entidad mida, documente y justifique el riesgo asumido. Finalmente, el volumen y la velocidad del negocio digital imponen tiempos de respuesta que un proceso manual difícilmente puede sostener sin sacrificar calidad. La conjunción de estos factores convierte la evaluación del riesgo de crédito en un problema complejo, costoso y estratégicamente crítico para el banco.</w:t>
      </w:r>
    </w:p>
    <w:p w14:paraId="5D9DB2ED">
      <w:pPr>
        <w:spacing w:line="480" w:lineRule="auto"/>
        <w:jc w:val="center"/>
      </w:pPr>
      <w:r>
        <w:rPr>
          <w:rFonts w:ascii="Times New Roman" w:hAnsi="Times New Roman" w:eastAsia="Times New Roman"/>
          <w:b/>
          <w:i w:val="0"/>
          <w:sz w:val="24"/>
        </w:rPr>
        <w:t>Objetivo del Proyecto</w:t>
      </w:r>
    </w:p>
    <w:p w14:paraId="34FA917E">
      <w:pPr>
        <w:spacing w:line="480" w:lineRule="auto"/>
        <w:jc w:val="left"/>
      </w:pPr>
      <w:r>
        <w:rPr>
          <w:rFonts w:ascii="Times New Roman" w:hAnsi="Times New Roman" w:eastAsia="Times New Roman"/>
          <w:b/>
          <w:i w:val="0"/>
          <w:sz w:val="24"/>
        </w:rPr>
        <w:t>Objetivo General</w:t>
      </w:r>
    </w:p>
    <w:p w14:paraId="03ED05CE">
      <w:pPr>
        <w:spacing w:before="0" w:after="0" w:line="480" w:lineRule="auto"/>
        <w:ind w:firstLine="720"/>
        <w:jc w:val="both"/>
      </w:pPr>
      <w:r>
        <w:rPr>
          <w:rFonts w:ascii="Times New Roman" w:hAnsi="Times New Roman" w:eastAsia="Times New Roman"/>
          <w:b w:val="0"/>
          <w:i w:val="0"/>
          <w:sz w:val="24"/>
        </w:rPr>
        <w:t>Desarrollar una solución de Ciencia de Datos que estime la probabilidad de incumplimiento de los solicitantes y deudores del banco, con el fin de apoyar decisiones de otorgamiento y gestión de crédito más precisas, consistentes y oportunas, y reducir así las pérdidas asociadas a la morosidad de la cartera.</w:t>
      </w:r>
    </w:p>
    <w:p w14:paraId="1464362E">
      <w:pPr>
        <w:spacing w:line="480" w:lineRule="auto"/>
        <w:jc w:val="left"/>
      </w:pPr>
      <w:r>
        <w:rPr>
          <w:rFonts w:ascii="Times New Roman" w:hAnsi="Times New Roman" w:eastAsia="Times New Roman"/>
          <w:b/>
          <w:i w:val="0"/>
          <w:sz w:val="24"/>
        </w:rPr>
        <w:t>Objetivos Específicos</w:t>
      </w:r>
    </w:p>
    <w:p w14:paraId="7FB41EA1">
      <w:pPr>
        <w:pStyle w:val="23"/>
        <w:spacing w:line="480" w:lineRule="auto"/>
      </w:pPr>
      <w:r>
        <w:rPr>
          <w:rFonts w:ascii="Times New Roman" w:hAnsi="Times New Roman" w:eastAsia="Times New Roman"/>
          <w:b w:val="0"/>
          <w:i w:val="0"/>
          <w:sz w:val="24"/>
        </w:rPr>
        <w:t>Cuantificar de manera objetiva el nivel de riesgo de cada solicitud mediante un modelo de scoring crediticio.</w:t>
      </w:r>
    </w:p>
    <w:p w14:paraId="55AF2C4F">
      <w:pPr>
        <w:pStyle w:val="23"/>
        <w:spacing w:line="480" w:lineRule="auto"/>
      </w:pPr>
      <w:r>
        <w:rPr>
          <w:rFonts w:ascii="Times New Roman" w:hAnsi="Times New Roman" w:eastAsia="Times New Roman"/>
          <w:b w:val="0"/>
          <w:i w:val="0"/>
          <w:sz w:val="24"/>
        </w:rPr>
        <w:t>Estandarizar y agilizar el proceso de aprobación, disminuyendo la variabilidad entre analistas.</w:t>
      </w:r>
    </w:p>
    <w:p w14:paraId="7D78A477">
      <w:pPr>
        <w:pStyle w:val="23"/>
        <w:spacing w:line="480" w:lineRule="auto"/>
      </w:pPr>
      <w:r>
        <w:rPr>
          <w:rFonts w:ascii="Times New Roman" w:hAnsi="Times New Roman" w:eastAsia="Times New Roman"/>
          <w:b w:val="0"/>
          <w:i w:val="0"/>
          <w:sz w:val="24"/>
        </w:rPr>
        <w:t>Segmentar la cartera según niveles de riesgo para diferenciar políticas de crédito, límites y precios.</w:t>
      </w:r>
    </w:p>
    <w:p w14:paraId="7444614A">
      <w:pPr>
        <w:pStyle w:val="23"/>
        <w:spacing w:line="480" w:lineRule="auto"/>
      </w:pPr>
      <w:r>
        <w:rPr>
          <w:rFonts w:ascii="Times New Roman" w:hAnsi="Times New Roman" w:eastAsia="Times New Roman"/>
          <w:b w:val="0"/>
          <w:i w:val="0"/>
          <w:sz w:val="24"/>
        </w:rPr>
        <w:t>Anticipar el deterioro de deudores vigentes para habilitar acciones de cobranza preventiva.</w:t>
      </w:r>
    </w:p>
    <w:p w14:paraId="4FDA7504">
      <w:pPr>
        <w:pStyle w:val="23"/>
        <w:spacing w:line="480" w:lineRule="auto"/>
      </w:pPr>
      <w:r>
        <w:rPr>
          <w:rFonts w:ascii="Times New Roman" w:hAnsi="Times New Roman" w:eastAsia="Times New Roman"/>
          <w:b w:val="0"/>
          <w:i w:val="0"/>
          <w:sz w:val="24"/>
        </w:rPr>
        <w:t>Fortalecer el cumplimiento regulatorio mediante decisiones medibles, documentadas y auditables.</w:t>
      </w:r>
    </w:p>
    <w:p w14:paraId="3EF5F021">
      <w:pPr>
        <w:spacing w:line="480" w:lineRule="auto"/>
        <w:jc w:val="center"/>
      </w:pPr>
      <w:r>
        <w:rPr>
          <w:rFonts w:ascii="Times New Roman" w:hAnsi="Times New Roman" w:eastAsia="Times New Roman"/>
          <w:b/>
          <w:i w:val="0"/>
          <w:sz w:val="24"/>
        </w:rPr>
        <w:t>Stakeholders (Partes Interesadas)</w:t>
      </w:r>
    </w:p>
    <w:p w14:paraId="34B314D0">
      <w:pPr>
        <w:spacing w:before="0" w:after="0" w:line="480" w:lineRule="auto"/>
        <w:ind w:firstLine="720"/>
        <w:jc w:val="both"/>
      </w:pPr>
      <w:r>
        <w:rPr>
          <w:rFonts w:ascii="Times New Roman" w:hAnsi="Times New Roman" w:eastAsia="Times New Roman"/>
          <w:b w:val="0"/>
          <w:i w:val="0"/>
          <w:sz w:val="24"/>
        </w:rPr>
        <w:t>Se entiende por stakeholders a las áreas y actores de la organización cuyos intereses se ven afectados por el proyecto o que participan en su implementación y uso. Identificarlos desde el inicio permite alinear expectativas y asegurar que la solución responda a necesidades reales del negocio. En este caso se reconocen los siguientes.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4FD306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680" w:type="dxa"/>
          </w:tcPr>
          <w:p w14:paraId="028ECC93">
            <w:r>
              <w:rPr>
                <w:b/>
              </w:rPr>
              <w:t>Área interesada</w:t>
            </w:r>
          </w:p>
        </w:tc>
        <w:tc>
          <w:tcPr>
            <w:tcW w:w="4680" w:type="dxa"/>
          </w:tcPr>
          <w:p w14:paraId="50D68CAF">
            <w:r>
              <w:rPr>
                <w:b/>
              </w:rPr>
              <w:t>Interés en el proyecto</w:t>
            </w:r>
          </w:p>
        </w:tc>
      </w:tr>
      <w:tr w14:paraId="6C8866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BC323E7">
            <w:pPr>
              <w:spacing w:line="240" w:lineRule="auto"/>
            </w:pPr>
            <w:r>
              <w:rPr>
                <w:rFonts w:ascii="Times New Roman" w:hAnsi="Times New Roman" w:eastAsia="Times New Roman"/>
                <w:b/>
                <w:i w:val="0"/>
                <w:sz w:val="22"/>
              </w:rPr>
              <w:t>Presidencia y Junta Directiva</w:t>
            </w:r>
          </w:p>
        </w:tc>
        <w:tc>
          <w:tcPr>
            <w:tcW w:w="4680" w:type="dxa"/>
          </w:tcPr>
          <w:p w14:paraId="0D0CDD16">
            <w:pPr>
              <w:spacing w:line="240" w:lineRule="auto"/>
            </w:pPr>
            <w:r>
              <w:rPr>
                <w:rFonts w:ascii="Times New Roman" w:hAnsi="Times New Roman" w:eastAsia="Times New Roman"/>
                <w:b w:val="0"/>
                <w:i w:val="0"/>
                <w:sz w:val="22"/>
              </w:rPr>
              <w:t>Velar por la rentabilidad y la salud del portafolio; reducir el riesgo global de la institución.</w:t>
            </w:r>
          </w:p>
        </w:tc>
      </w:tr>
      <w:tr w14:paraId="4560F1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31EBAF18">
            <w:pPr>
              <w:spacing w:line="240" w:lineRule="auto"/>
            </w:pPr>
            <w:r>
              <w:rPr>
                <w:rFonts w:ascii="Times New Roman" w:hAnsi="Times New Roman" w:eastAsia="Times New Roman"/>
                <w:b/>
                <w:i w:val="0"/>
                <w:sz w:val="22"/>
              </w:rPr>
              <w:t>Gestión de Riesgos</w:t>
            </w:r>
          </w:p>
        </w:tc>
        <w:tc>
          <w:tcPr>
            <w:tcW w:w="4680" w:type="dxa"/>
          </w:tcPr>
          <w:p w14:paraId="048456B7">
            <w:pPr>
              <w:spacing w:line="240" w:lineRule="auto"/>
            </w:pPr>
            <w:r>
              <w:rPr>
                <w:rFonts w:ascii="Times New Roman" w:hAnsi="Times New Roman" w:eastAsia="Times New Roman"/>
                <w:b w:val="0"/>
                <w:i w:val="0"/>
                <w:sz w:val="22"/>
              </w:rPr>
              <w:t>Área patrocinadora natural; mide, controla y limita la exposición crediticia del banco.</w:t>
            </w:r>
          </w:p>
        </w:tc>
      </w:tr>
      <w:tr w14:paraId="0D5556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0BF8EAF">
            <w:pPr>
              <w:spacing w:line="240" w:lineRule="auto"/>
            </w:pPr>
            <w:r>
              <w:rPr>
                <w:rFonts w:ascii="Times New Roman" w:hAnsi="Times New Roman" w:eastAsia="Times New Roman"/>
                <w:b/>
                <w:i w:val="0"/>
                <w:sz w:val="22"/>
              </w:rPr>
              <w:t>Área Comercial / Negocios</w:t>
            </w:r>
          </w:p>
        </w:tc>
        <w:tc>
          <w:tcPr>
            <w:tcW w:w="4680" w:type="dxa"/>
          </w:tcPr>
          <w:p w14:paraId="7E38D5E5">
            <w:pPr>
              <w:spacing w:line="240" w:lineRule="auto"/>
            </w:pPr>
            <w:r>
              <w:rPr>
                <w:rFonts w:ascii="Times New Roman" w:hAnsi="Times New Roman" w:eastAsia="Times New Roman"/>
                <w:b w:val="0"/>
                <w:i w:val="0"/>
                <w:sz w:val="22"/>
              </w:rPr>
              <w:t>Aprobar más clientes solventes con mayor rapidez, sin incrementar la morosidad.</w:t>
            </w:r>
          </w:p>
        </w:tc>
      </w:tr>
      <w:tr w14:paraId="5B0F30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71223DBD">
            <w:pPr>
              <w:spacing w:line="240" w:lineRule="auto"/>
            </w:pPr>
            <w:r>
              <w:rPr>
                <w:rFonts w:ascii="Times New Roman" w:hAnsi="Times New Roman" w:eastAsia="Times New Roman"/>
                <w:b/>
                <w:i w:val="0"/>
                <w:sz w:val="22"/>
              </w:rPr>
              <w:t>Operaciones y Cobranzas</w:t>
            </w:r>
          </w:p>
        </w:tc>
        <w:tc>
          <w:tcPr>
            <w:tcW w:w="4680" w:type="dxa"/>
          </w:tcPr>
          <w:p w14:paraId="1CC4A453">
            <w:pPr>
              <w:spacing w:line="240" w:lineRule="auto"/>
            </w:pPr>
            <w:r>
              <w:rPr>
                <w:rFonts w:ascii="Times New Roman" w:hAnsi="Times New Roman" w:eastAsia="Times New Roman"/>
                <w:b w:val="0"/>
                <w:i w:val="0"/>
                <w:sz w:val="22"/>
              </w:rPr>
              <w:t>Anticipar los deudores con probabilidad de mora y priorizar la gestión de recuperación.</w:t>
            </w:r>
          </w:p>
        </w:tc>
      </w:tr>
      <w:tr w14:paraId="20E43A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6E8E36B">
            <w:pPr>
              <w:spacing w:line="240" w:lineRule="auto"/>
            </w:pPr>
            <w:r>
              <w:rPr>
                <w:rFonts w:ascii="Times New Roman" w:hAnsi="Times New Roman" w:eastAsia="Times New Roman"/>
                <w:b/>
                <w:i w:val="0"/>
                <w:sz w:val="22"/>
              </w:rPr>
              <w:t>Mercadeo</w:t>
            </w:r>
          </w:p>
        </w:tc>
        <w:tc>
          <w:tcPr>
            <w:tcW w:w="4680" w:type="dxa"/>
          </w:tcPr>
          <w:p w14:paraId="08FF8BBD">
            <w:pPr>
              <w:spacing w:line="240" w:lineRule="auto"/>
            </w:pPr>
            <w:r>
              <w:rPr>
                <w:rFonts w:ascii="Times New Roman" w:hAnsi="Times New Roman" w:eastAsia="Times New Roman"/>
                <w:b w:val="0"/>
                <w:i w:val="0"/>
                <w:sz w:val="22"/>
              </w:rPr>
              <w:t>Diseñar ofertas, límites y campañas de crédito preaprobado según el perfil de riesgo.</w:t>
            </w:r>
          </w:p>
        </w:tc>
      </w:tr>
      <w:tr w14:paraId="289AB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2F301F06">
            <w:pPr>
              <w:spacing w:line="240" w:lineRule="auto"/>
            </w:pPr>
            <w:r>
              <w:rPr>
                <w:rFonts w:ascii="Times New Roman" w:hAnsi="Times New Roman" w:eastAsia="Times New Roman"/>
                <w:b/>
                <w:i w:val="0"/>
                <w:sz w:val="22"/>
              </w:rPr>
              <w:t>Auditoría y Cumplimiento</w:t>
            </w:r>
          </w:p>
        </w:tc>
        <w:tc>
          <w:tcPr>
            <w:tcW w:w="4680" w:type="dxa"/>
          </w:tcPr>
          <w:p w14:paraId="350A0BF7">
            <w:pPr>
              <w:spacing w:line="240" w:lineRule="auto"/>
            </w:pPr>
            <w:r>
              <w:rPr>
                <w:rFonts w:ascii="Times New Roman" w:hAnsi="Times New Roman" w:eastAsia="Times New Roman"/>
                <w:b w:val="0"/>
                <w:i w:val="0"/>
                <w:sz w:val="22"/>
              </w:rPr>
              <w:t>Garantizar que las decisiones sean trazables y justificables ante el regulador.</w:t>
            </w:r>
          </w:p>
        </w:tc>
      </w:tr>
      <w:tr w14:paraId="472A50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294AF6A">
            <w:pPr>
              <w:spacing w:line="240" w:lineRule="auto"/>
            </w:pPr>
            <w:r>
              <w:rPr>
                <w:rFonts w:ascii="Times New Roman" w:hAnsi="Times New Roman" w:eastAsia="Times New Roman"/>
                <w:b/>
                <w:i w:val="0"/>
                <w:sz w:val="22"/>
              </w:rPr>
              <w:t>Servicio al Cliente</w:t>
            </w:r>
          </w:p>
        </w:tc>
        <w:tc>
          <w:tcPr>
            <w:tcW w:w="4680" w:type="dxa"/>
          </w:tcPr>
          <w:p w14:paraId="2831E9F9">
            <w:pPr>
              <w:spacing w:line="240" w:lineRule="auto"/>
            </w:pPr>
            <w:r>
              <w:rPr>
                <w:rFonts w:ascii="Times New Roman" w:hAnsi="Times New Roman" w:eastAsia="Times New Roman"/>
                <w:b w:val="0"/>
                <w:i w:val="0"/>
                <w:sz w:val="22"/>
              </w:rPr>
              <w:t>Ofrecer respuestas más rápidas y consistentes al solicitante.</w:t>
            </w:r>
          </w:p>
        </w:tc>
      </w:tr>
    </w:tbl>
    <w:p w14:paraId="4D8A6095">
      <w:pPr>
        <w:spacing w:before="0" w:after="0" w:line="480" w:lineRule="auto"/>
      </w:pPr>
    </w:p>
    <w:p w14:paraId="32907CDA">
      <w:pPr>
        <w:spacing w:line="480" w:lineRule="auto"/>
        <w:jc w:val="center"/>
      </w:pPr>
      <w:r>
        <w:rPr>
          <w:rFonts w:ascii="Times New Roman" w:hAnsi="Times New Roman" w:eastAsia="Times New Roman"/>
          <w:b/>
          <w:i w:val="0"/>
          <w:sz w:val="24"/>
        </w:rPr>
        <w:t>Decisiones que Apoyará el Proyecto</w:t>
      </w:r>
    </w:p>
    <w:p w14:paraId="3AA1CB8D">
      <w:pPr>
        <w:spacing w:before="0" w:after="0" w:line="480" w:lineRule="auto"/>
        <w:ind w:firstLine="720"/>
        <w:jc w:val="both"/>
      </w:pPr>
      <w:r>
        <w:rPr>
          <w:rFonts w:ascii="Times New Roman" w:hAnsi="Times New Roman" w:eastAsia="Times New Roman"/>
          <w:b w:val="0"/>
          <w:i w:val="0"/>
          <w:sz w:val="24"/>
        </w:rPr>
        <w:t>La solución no sustituye el juicio de la organización, sino que lo respalda con evidencia cuantitativa. En concreto, contribuirá a mejorar las siguientes decisiones.</w:t>
      </w:r>
    </w:p>
    <w:p w14:paraId="1F3509E8">
      <w:pPr>
        <w:spacing w:line="480" w:lineRule="auto"/>
        <w:ind w:firstLine="720"/>
      </w:pPr>
      <w:r>
        <w:rPr>
          <w:rFonts w:ascii="Times New Roman" w:hAnsi="Times New Roman" w:eastAsia="Times New Roman"/>
          <w:b/>
          <w:i w:val="0"/>
          <w:sz w:val="24"/>
        </w:rPr>
        <w:t xml:space="preserve">1. Aprobación o rechazo de solicitudes. </w:t>
      </w:r>
      <w:r>
        <w:rPr>
          <w:rFonts w:ascii="Times New Roman" w:hAnsi="Times New Roman" w:eastAsia="Times New Roman"/>
          <w:b w:val="0"/>
          <w:i w:val="0"/>
          <w:sz w:val="24"/>
        </w:rPr>
        <w:t>Determinar, con base en el score de riesgo, si una solicitud de crédito debe aceptarse, rechazarse o derivarse a revisión manual.</w:t>
      </w:r>
    </w:p>
    <w:p w14:paraId="730529CE">
      <w:pPr>
        <w:spacing w:line="480" w:lineRule="auto"/>
        <w:ind w:firstLine="720"/>
      </w:pPr>
      <w:r>
        <w:rPr>
          <w:rFonts w:ascii="Times New Roman" w:hAnsi="Times New Roman" w:eastAsia="Times New Roman"/>
          <w:b/>
          <w:i w:val="0"/>
          <w:sz w:val="24"/>
        </w:rPr>
        <w:t xml:space="preserve">2. Definición de montos y límites de crédito. </w:t>
      </w:r>
      <w:r>
        <w:rPr>
          <w:rFonts w:ascii="Times New Roman" w:hAnsi="Times New Roman" w:eastAsia="Times New Roman"/>
          <w:b w:val="0"/>
          <w:i w:val="0"/>
          <w:sz w:val="24"/>
        </w:rPr>
        <w:t>Ajustar el límite otorgado al nivel de riesgo del cliente, evitando sobreendeudamiento y controlando la exposición.</w:t>
      </w:r>
    </w:p>
    <w:p w14:paraId="0394151D">
      <w:pPr>
        <w:spacing w:line="480" w:lineRule="auto"/>
        <w:ind w:firstLine="720"/>
      </w:pPr>
      <w:r>
        <w:rPr>
          <w:rFonts w:ascii="Times New Roman" w:hAnsi="Times New Roman" w:eastAsia="Times New Roman"/>
          <w:b/>
          <w:i w:val="0"/>
          <w:sz w:val="24"/>
        </w:rPr>
        <w:t xml:space="preserve">3. Asignación de la tasa de interés (pricing basado en riesgo). </w:t>
      </w:r>
      <w:r>
        <w:rPr>
          <w:rFonts w:ascii="Times New Roman" w:hAnsi="Times New Roman" w:eastAsia="Times New Roman"/>
          <w:b w:val="0"/>
          <w:i w:val="0"/>
          <w:sz w:val="24"/>
        </w:rPr>
        <w:t>Diferenciar el precio del crédito de acuerdo con la probabilidad de incumplimiento estimada.</w:t>
      </w:r>
    </w:p>
    <w:p w14:paraId="2843B27B">
      <w:pPr>
        <w:spacing w:line="480" w:lineRule="auto"/>
        <w:ind w:firstLine="720"/>
      </w:pPr>
      <w:r>
        <w:rPr>
          <w:rFonts w:ascii="Times New Roman" w:hAnsi="Times New Roman" w:eastAsia="Times New Roman"/>
          <w:b/>
          <w:i w:val="0"/>
          <w:sz w:val="24"/>
        </w:rPr>
        <w:t xml:space="preserve">4. Priorización de la cobranza preventiva. </w:t>
      </w:r>
      <w:r>
        <w:rPr>
          <w:rFonts w:ascii="Times New Roman" w:hAnsi="Times New Roman" w:eastAsia="Times New Roman"/>
          <w:b w:val="0"/>
          <w:i w:val="0"/>
          <w:sz w:val="24"/>
        </w:rPr>
        <w:t>Focalizar los esfuerzos de contacto en los deudores con mayor probabilidad de caer en mora antes de que esto ocurra.</w:t>
      </w:r>
    </w:p>
    <w:p w14:paraId="1F58539B">
      <w:pPr>
        <w:spacing w:line="480" w:lineRule="auto"/>
        <w:ind w:firstLine="720"/>
      </w:pPr>
      <w:r>
        <w:rPr>
          <w:rFonts w:ascii="Times New Roman" w:hAnsi="Times New Roman" w:eastAsia="Times New Roman"/>
          <w:b/>
          <w:i w:val="0"/>
          <w:sz w:val="24"/>
        </w:rPr>
        <w:t xml:space="preserve">5. Revisión de límites de clientes vigentes. </w:t>
      </w:r>
      <w:r>
        <w:rPr>
          <w:rFonts w:ascii="Times New Roman" w:hAnsi="Times New Roman" w:eastAsia="Times New Roman"/>
          <w:b w:val="0"/>
          <w:i w:val="0"/>
          <w:sz w:val="24"/>
        </w:rPr>
        <w:t>Aumentar cupos a buenos pagadores y revisar a los perfiles cuyo riesgo se ha incrementado.</w:t>
      </w:r>
    </w:p>
    <w:p w14:paraId="0889305C">
      <w:pPr>
        <w:spacing w:line="480" w:lineRule="auto"/>
        <w:ind w:firstLine="720"/>
      </w:pPr>
      <w:r>
        <w:rPr>
          <w:rFonts w:ascii="Times New Roman" w:hAnsi="Times New Roman" w:eastAsia="Times New Roman"/>
          <w:b/>
          <w:i w:val="0"/>
          <w:sz w:val="24"/>
        </w:rPr>
        <w:t xml:space="preserve">6. Selección de segmentos para campañas de crédito preaprobado. </w:t>
      </w:r>
      <w:r>
        <w:rPr>
          <w:rFonts w:ascii="Times New Roman" w:hAnsi="Times New Roman" w:eastAsia="Times New Roman"/>
          <w:b w:val="0"/>
          <w:i w:val="0"/>
          <w:sz w:val="24"/>
        </w:rPr>
        <w:t>Dirigir ofertas comerciales únicamente a los segmentos de bajo riesgo, mejorando la eficiencia del gasto de mercadeo.</w:t>
      </w:r>
    </w:p>
    <w:p w14:paraId="0B11B97D">
      <w:pPr>
        <w:spacing w:line="480" w:lineRule="auto"/>
        <w:jc w:val="center"/>
      </w:pPr>
      <w:r>
        <w:rPr>
          <w:rFonts w:ascii="Times New Roman" w:hAnsi="Times New Roman" w:eastAsia="Times New Roman"/>
          <w:b/>
          <w:i w:val="0"/>
          <w:sz w:val="24"/>
        </w:rPr>
        <w:t>Indicadores de Éxito (KPI)</w:t>
      </w:r>
    </w:p>
    <w:p w14:paraId="6C5C68E8">
      <w:pPr>
        <w:spacing w:before="0" w:after="0" w:line="480" w:lineRule="auto"/>
        <w:ind w:firstLine="720"/>
        <w:jc w:val="both"/>
      </w:pPr>
      <w:r>
        <w:rPr>
          <w:rFonts w:ascii="Times New Roman" w:hAnsi="Times New Roman" w:eastAsia="Times New Roman"/>
          <w:b w:val="0"/>
          <w:i w:val="0"/>
          <w:sz w:val="24"/>
        </w:rPr>
        <w:t>Para valorar si el proyecto cumple sus objetivos se proponen indicadores que combinan la perspectiva del negocio con la del desempeño estadístico del modelo. Los primeros miden el impacto financiero y operativo; los segundos, la capacidad predictiva de la solución.</w:t>
      </w:r>
    </w:p>
    <w:p w14:paraId="48BDD091">
      <w:pPr>
        <w:spacing w:line="480" w:lineRule="auto"/>
        <w:ind w:firstLine="720"/>
      </w:pPr>
      <w:r>
        <w:rPr>
          <w:rFonts w:ascii="Times New Roman" w:hAnsi="Times New Roman" w:eastAsia="Times New Roman"/>
          <w:b/>
          <w:i w:val="0"/>
          <w:sz w:val="24"/>
        </w:rPr>
        <w:t xml:space="preserve">1. Reducción de la tasa de morosidad. </w:t>
      </w:r>
      <w:r>
        <w:rPr>
          <w:rFonts w:ascii="Times New Roman" w:hAnsi="Times New Roman" w:eastAsia="Times New Roman"/>
          <w:b w:val="0"/>
          <w:i w:val="0"/>
          <w:sz w:val="24"/>
        </w:rPr>
        <w:t>Disminución del índice de cartera vencida respecto de la cartera total, en un horizonte de doce meses.</w:t>
      </w:r>
    </w:p>
    <w:p w14:paraId="2B811DAE">
      <w:pPr>
        <w:spacing w:line="480" w:lineRule="auto"/>
        <w:ind w:firstLine="720"/>
      </w:pPr>
      <w:r>
        <w:rPr>
          <w:rFonts w:ascii="Times New Roman" w:hAnsi="Times New Roman" w:eastAsia="Times New Roman"/>
          <w:b/>
          <w:i w:val="0"/>
          <w:sz w:val="24"/>
        </w:rPr>
        <w:t xml:space="preserve">2. Reducción de las pérdidas por incobrables. </w:t>
      </w:r>
      <w:r>
        <w:rPr>
          <w:rFonts w:ascii="Times New Roman" w:hAnsi="Times New Roman" w:eastAsia="Times New Roman"/>
          <w:b w:val="0"/>
          <w:i w:val="0"/>
          <w:sz w:val="24"/>
        </w:rPr>
        <w:t>Descenso del monto (en RD$) castigado por créditos irrecuperables.</w:t>
      </w:r>
    </w:p>
    <w:p w14:paraId="79EA5AEC">
      <w:pPr>
        <w:spacing w:line="480" w:lineRule="auto"/>
        <w:ind w:firstLine="720"/>
      </w:pPr>
      <w:r>
        <w:rPr>
          <w:rFonts w:ascii="Times New Roman" w:hAnsi="Times New Roman" w:eastAsia="Times New Roman"/>
          <w:b/>
          <w:i w:val="0"/>
          <w:sz w:val="24"/>
        </w:rPr>
        <w:t xml:space="preserve">3. Tiempo promedio de aprobación. </w:t>
      </w:r>
      <w:r>
        <w:rPr>
          <w:rFonts w:ascii="Times New Roman" w:hAnsi="Times New Roman" w:eastAsia="Times New Roman"/>
          <w:b w:val="0"/>
          <w:i w:val="0"/>
          <w:sz w:val="24"/>
        </w:rPr>
        <w:t>Reducción del tiempo de respuesta al solicitante, de días u horas a minutos.</w:t>
      </w:r>
    </w:p>
    <w:p w14:paraId="42F98083">
      <w:pPr>
        <w:spacing w:line="480" w:lineRule="auto"/>
        <w:ind w:firstLine="720"/>
      </w:pPr>
      <w:r>
        <w:rPr>
          <w:rFonts w:ascii="Times New Roman" w:hAnsi="Times New Roman" w:eastAsia="Times New Roman"/>
          <w:b/>
          <w:i w:val="0"/>
          <w:sz w:val="24"/>
        </w:rPr>
        <w:t xml:space="preserve">4. Tasa de aprobación a riesgo constante. </w:t>
      </w:r>
      <w:r>
        <w:rPr>
          <w:rFonts w:ascii="Times New Roman" w:hAnsi="Times New Roman" w:eastAsia="Times New Roman"/>
          <w:b w:val="0"/>
          <w:i w:val="0"/>
          <w:sz w:val="24"/>
        </w:rPr>
        <w:t>Incremento del porcentaje de solicitudes aprobadas sin elevar la morosidad, es decir, más negocio con el mismo nivel de riesgo.</w:t>
      </w:r>
    </w:p>
    <w:p w14:paraId="7A44A5DB">
      <w:pPr>
        <w:spacing w:line="480" w:lineRule="auto"/>
        <w:ind w:firstLine="720"/>
      </w:pPr>
      <w:r>
        <w:rPr>
          <w:rFonts w:ascii="Times New Roman" w:hAnsi="Times New Roman" w:eastAsia="Times New Roman"/>
          <w:b/>
          <w:i w:val="0"/>
          <w:sz w:val="24"/>
        </w:rPr>
        <w:t xml:space="preserve">5. Capacidad discriminante del modelo. </w:t>
      </w:r>
      <w:r>
        <w:rPr>
          <w:rFonts w:ascii="Times New Roman" w:hAnsi="Times New Roman" w:eastAsia="Times New Roman"/>
          <w:b w:val="0"/>
          <w:i w:val="0"/>
          <w:sz w:val="24"/>
        </w:rPr>
        <w:t>Desempeño medido con métricas estándar de scoring, como el estadístico Kolmogorov-Smirnov (KS), el coeficiente de Gini y el área bajo la curva ROC (AUC).</w:t>
      </w:r>
    </w:p>
    <w:p w14:paraId="23694ED5">
      <w:pPr>
        <w:spacing w:line="480" w:lineRule="auto"/>
        <w:ind w:firstLine="720"/>
      </w:pPr>
      <w:r>
        <w:rPr>
          <w:rFonts w:ascii="Times New Roman" w:hAnsi="Times New Roman" w:eastAsia="Times New Roman"/>
          <w:b/>
          <w:i w:val="0"/>
          <w:sz w:val="24"/>
        </w:rPr>
        <w:t xml:space="preserve">6. Nivel de adopción interna. </w:t>
      </w:r>
      <w:r>
        <w:rPr>
          <w:rFonts w:ascii="Times New Roman" w:hAnsi="Times New Roman" w:eastAsia="Times New Roman"/>
          <w:b w:val="0"/>
          <w:i w:val="0"/>
          <w:sz w:val="24"/>
        </w:rPr>
        <w:t>Porcentaje de decisiones de crédito que se apoyan efectivamente en la recomendación del modelo.</w:t>
      </w:r>
    </w:p>
    <w:p w14:paraId="352F3944">
      <w:pPr>
        <w:spacing w:line="480" w:lineRule="auto"/>
        <w:jc w:val="center"/>
      </w:pPr>
      <w:r>
        <w:rPr>
          <w:rFonts w:ascii="Times New Roman" w:hAnsi="Times New Roman" w:eastAsia="Times New Roman"/>
          <w:b/>
          <w:i w:val="0"/>
          <w:sz w:val="24"/>
        </w:rPr>
        <w:t>Beneficios Esperados</w:t>
      </w:r>
    </w:p>
    <w:p w14:paraId="192D4F07">
      <w:pPr>
        <w:spacing w:before="0" w:after="0" w:line="480" w:lineRule="auto"/>
        <w:ind w:firstLine="720"/>
        <w:jc w:val="both"/>
      </w:pPr>
      <w:r>
        <w:rPr>
          <w:rFonts w:ascii="Times New Roman" w:hAnsi="Times New Roman" w:eastAsia="Times New Roman"/>
          <w:b w:val="0"/>
          <w:i w:val="0"/>
          <w:sz w:val="24"/>
        </w:rPr>
        <w:t>La implementación de una solución de Ciencia de Datos para la gestión del riesgo de crédito genera beneficios que trascienden el ahorro inmediato. En el plano financiero, la entidad reduce sus pérdidas por incobrables y optimiza el nivel de provisiones, liberando capital para nuevas colocaciones. En el plano operativo, las decisiones se vuelven más rápidas, consistentes y objetivas, al sustituir la valoración subjetiva por un criterio homogéneo y reproducible.</w:t>
      </w:r>
    </w:p>
    <w:p w14:paraId="71338A81">
      <w:pPr>
        <w:spacing w:before="0" w:after="0" w:line="480" w:lineRule="auto"/>
        <w:ind w:firstLine="720"/>
        <w:jc w:val="both"/>
      </w:pPr>
      <w:r>
        <w:rPr>
          <w:rFonts w:ascii="Times New Roman" w:hAnsi="Times New Roman" w:eastAsia="Times New Roman"/>
          <w:b w:val="0"/>
          <w:i w:val="0"/>
          <w:sz w:val="24"/>
        </w:rPr>
        <w:t>Desde la óptica comercial, el banco mejora la rentabilidad de su cartera al aprobar a más clientes solventes y aplicar un esquema de precios acorde con el riesgo. La experiencia del cliente también se beneficia, pues obtiene respuestas ágiles y un trato uniforme. En materia de gobierno y cumplimiento, la solución aporta trazabilidad y sustento a cada decisión, lo que facilita la relación con el ente supervisor. En conjunto, estos beneficios se traducen en una ventaja competitiva sostenible y en una base metodológica que la institución podrá extender más adelante a otros productos y procesos.</w:t>
      </w:r>
    </w:p>
    <w:p w14:paraId="472B110C">
      <w:pPr>
        <w:spacing w:line="480" w:lineRule="auto"/>
        <w:jc w:val="center"/>
      </w:pPr>
      <w:r>
        <w:rPr>
          <w:rFonts w:ascii="Times New Roman" w:hAnsi="Times New Roman" w:eastAsia="Times New Roman"/>
          <w:b/>
          <w:i w:val="0"/>
          <w:sz w:val="24"/>
        </w:rPr>
        <w:t>Conclusión</w:t>
      </w:r>
    </w:p>
    <w:p w14:paraId="06D4F6B9">
      <w:pPr>
        <w:spacing w:before="0" w:after="0" w:line="480" w:lineRule="auto"/>
        <w:ind w:firstLine="720"/>
        <w:jc w:val="both"/>
      </w:pPr>
      <w:r>
        <w:rPr>
          <w:rFonts w:ascii="Times New Roman" w:hAnsi="Times New Roman" w:eastAsia="Times New Roman"/>
          <w:b w:val="0"/>
          <w:i w:val="0"/>
          <w:sz w:val="24"/>
        </w:rPr>
        <w:t>La comprensión del negocio realizada en este documento confirma que la gestión del riesgo de crédito es un problema de alto impacto y plenamente abordable mediante Ciencia de Datos. Se delimitó el desafío, se establecieron objetivos claros, se identificaron los interesados, las decisiones a apoyar, los indicadores de éxito y los beneficios esperados. Con este marco definido, el proyecto queda en condiciones de avanzar hacia las etapas posteriores de la metodología, en las que se abordarán la comprensión y preparación de los datos, el modelado y la evaluación de la solución.</w:t>
      </w:r>
    </w:p>
    <w:p w14:paraId="2EF6601F">
      <w:r>
        <w:br w:type="page"/>
      </w:r>
    </w:p>
    <w:p w14:paraId="6B6047A5">
      <w:pPr>
        <w:spacing w:line="480" w:lineRule="auto"/>
        <w:jc w:val="center"/>
      </w:pPr>
      <w:r>
        <w:rPr>
          <w:rFonts w:ascii="Times New Roman" w:hAnsi="Times New Roman" w:eastAsia="Times New Roman"/>
          <w:b/>
          <w:i w:val="0"/>
          <w:sz w:val="24"/>
        </w:rPr>
        <w:t>Referencias</w:t>
      </w:r>
    </w:p>
    <w:p w14:paraId="65ACFCBD">
      <w:pPr>
        <w:spacing w:before="0" w:after="0" w:line="480" w:lineRule="auto"/>
        <w:ind w:left="720" w:hanging="720"/>
        <w:jc w:val="left"/>
      </w:pPr>
      <w:r>
        <w:rPr>
          <w:rFonts w:ascii="Times New Roman" w:hAnsi="Times New Roman" w:eastAsia="Times New Roman"/>
          <w:b w:val="0"/>
          <w:i w:val="0"/>
          <w:sz w:val="24"/>
        </w:rPr>
        <w:t>Chapman, P., Clinton, J., Kerber, R., Khabaza, T., Reinartz, T., Shearer, C., &amp; Wirth, R. (2000). CRISP-DM 1.0: Step-by-step data mining guide. SPSS Inc.</w:t>
      </w:r>
    </w:p>
    <w:p w14:paraId="1539F18D">
      <w:pPr>
        <w:spacing w:before="0" w:after="0" w:line="480" w:lineRule="auto"/>
        <w:ind w:left="720" w:hanging="720"/>
        <w:jc w:val="left"/>
      </w:pPr>
      <w:r>
        <w:rPr>
          <w:rFonts w:ascii="Times New Roman" w:hAnsi="Times New Roman" w:eastAsia="Times New Roman"/>
          <w:b w:val="0"/>
          <w:i w:val="0"/>
          <w:sz w:val="24"/>
        </w:rPr>
        <w:t>Comité de Supervisión Bancaria de Basilea. (2006). Convergencia internacional de medidas y normas de capital (Basilea II). Banco de Pagos Internacionales.</w:t>
      </w:r>
    </w:p>
    <w:p w14:paraId="2BC8EB54">
      <w:pPr>
        <w:spacing w:before="0" w:after="0" w:line="480" w:lineRule="auto"/>
        <w:ind w:left="720" w:hanging="720"/>
        <w:jc w:val="left"/>
      </w:pPr>
      <w:r>
        <w:rPr>
          <w:rFonts w:ascii="Times New Roman" w:hAnsi="Times New Roman" w:eastAsia="Times New Roman"/>
          <w:b w:val="0"/>
          <w:i w:val="0"/>
          <w:sz w:val="24"/>
        </w:rPr>
        <w:t>Hand, D. J., &amp; Henley, W. E. (1997). Statistical classification methods in consumer credit scoring: A review. Journal of the Royal Statistical Society: Series A, 160(3), 523–541.</w:t>
      </w:r>
    </w:p>
    <w:p w14:paraId="18F9CEA4">
      <w:pPr>
        <w:spacing w:before="0" w:after="0" w:line="480" w:lineRule="auto"/>
        <w:ind w:left="720" w:hanging="720"/>
        <w:jc w:val="left"/>
      </w:pPr>
      <w:r>
        <w:rPr>
          <w:rFonts w:ascii="Times New Roman" w:hAnsi="Times New Roman" w:eastAsia="Times New Roman"/>
          <w:b w:val="0"/>
          <w:i w:val="0"/>
          <w:sz w:val="24"/>
        </w:rPr>
        <w:t>Provost, F., &amp; Fawcett, T. (2013). Data science for business. O’Reilly Media.</w:t>
      </w:r>
    </w:p>
    <w:p w14:paraId="7807778A">
      <w:pPr>
        <w:spacing w:before="0" w:after="0" w:line="480" w:lineRule="auto"/>
        <w:ind w:left="720" w:hanging="720"/>
        <w:jc w:val="left"/>
      </w:pPr>
      <w:r>
        <w:rPr>
          <w:rFonts w:ascii="Times New Roman" w:hAnsi="Times New Roman" w:eastAsia="Times New Roman"/>
          <w:b w:val="0"/>
          <w:i w:val="0"/>
          <w:sz w:val="24"/>
        </w:rPr>
        <w:t>Superintendencia de Bancos de la República Dominicana. (2004). Reglamento de evaluación de activos (REA). Autor.</w:t>
      </w:r>
    </w:p>
    <w:p w14:paraId="7F9D0A6E">
      <w:pPr>
        <w:spacing w:before="0" w:after="0" w:line="480" w:lineRule="auto"/>
        <w:ind w:left="720" w:hanging="720"/>
        <w:jc w:val="left"/>
      </w:pPr>
      <w:r>
        <w:rPr>
          <w:rFonts w:ascii="Times New Roman" w:hAnsi="Times New Roman" w:eastAsia="Times New Roman"/>
          <w:b w:val="0"/>
          <w:i w:val="0"/>
          <w:sz w:val="24"/>
        </w:rPr>
        <w:t>Thomas, L. C., Edelman, D. B., &amp; Crook, J. N. (2002). Credit scoring and its applications. Society for Industrial and Applied Mathematics (SIAM).</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7E579">
    <w:pPr>
      <w:pStyle w:val="19"/>
      <w:jc w:val="right"/>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E3C01"/>
    <w:rsid w:val="705A41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8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735</Words>
  <Characters>4163</Characters>
  <Lines>0</Lines>
  <Paragraphs>0</Paragraphs>
  <TotalTime>2</TotalTime>
  <ScaleCrop>false</ScaleCrop>
  <LinksUpToDate>false</LinksUpToDate>
  <CharactersWithSpaces>4863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Jhonniel Garcia</cp:lastModifiedBy>
  <dcterms:modified xsi:type="dcterms:W3CDTF">2026-08-13T19:20:04Z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eyJoZGlkIjoiOGZlYjFhNmViZWNkYjMxNGY1MmNiMWNiZmJmZmQxNzAiLCJ1c2VySWQiOiIxNjY2NTUzMzUyNjQ3In0=</vt:lpwstr>
  </property>
  <property fmtid="{D5CDD505-2E9C-101B-9397-08002B2CF9AE}" pid="3" name="KSOProductBuildVer">
    <vt:lpwstr>1033-12.1.0.28032</vt:lpwstr>
  </property>
  <property fmtid="{D5CDD505-2E9C-101B-9397-08002B2CF9AE}" pid="4" name="ICV">
    <vt:lpwstr>4770FE0907404CD09B10A999F1510D5E_13</vt:lpwstr>
  </property>
</Properties>
</file>