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pcuoxtjuw1v" w:id="0"/>
      <w:bookmarkEnd w:id="0"/>
      <w:r w:rsidDel="00000000" w:rsidR="00000000" w:rsidRPr="00000000">
        <w:rPr>
          <w:rtl w:val="0"/>
        </w:rPr>
        <w:t xml:space="preserve">Mandatory Climate-Related Disclosures in Australia: An Academic Briefing on AASB S2 and Compliance Frameworks</w:t>
      </w:r>
    </w:p>
    <w:p w:rsidR="00000000" w:rsidDel="00000000" w:rsidP="00000000" w:rsidRDefault="00000000" w:rsidRPr="00000000" w14:paraId="00000002">
      <w:pPr>
        <w:pStyle w:val="Heading5"/>
        <w:rPr/>
      </w:pPr>
      <w:bookmarkStart w:colFirst="0" w:colLast="0" w:name="_p7syix44n1xi" w:id="1"/>
      <w:bookmarkEnd w:id="1"/>
      <w:r w:rsidDel="00000000" w:rsidR="00000000" w:rsidRPr="00000000">
        <w:rPr>
          <w:rtl w:val="0"/>
        </w:rPr>
        <w:t xml:space="preserve">1. Framework Purpose and Scope</w:t>
      </w:r>
    </w:p>
    <w:p w:rsidR="00000000" w:rsidDel="00000000" w:rsidP="00000000" w:rsidRDefault="00000000" w:rsidRPr="00000000" w14:paraId="00000003">
      <w:pPr>
        <w:rPr/>
      </w:pPr>
      <w:r w:rsidDel="00000000" w:rsidR="00000000" w:rsidRPr="00000000">
        <w:rPr>
          <w:rtl w:val="0"/>
        </w:rPr>
        <w:t xml:space="preserve">The establishment of Australia’s statutory climate reporting framework represents a strategic transformation in financial transparency, designed to ensure capital markets receive standardized, decision-useful sustainability information. Issued by the Australian Accounting Standards Board (AASB) pursuant to section 336A of the  </w:t>
      </w:r>
      <w:r w:rsidDel="00000000" w:rsidR="00000000" w:rsidRPr="00000000">
        <w:rPr>
          <w:i w:val="1"/>
          <w:iCs w:val="1"/>
          <w:rtl w:val="0"/>
        </w:rPr>
        <w:t xml:space="preserve">Corporations Act 2001</w:t>
      </w:r>
      <w:r w:rsidDel="00000000" w:rsidR="00000000" w:rsidRPr="00000000">
        <w:rPr>
          <w:rtl w:val="0"/>
        </w:rPr>
        <w:t xml:space="preserve"> , Australian Sustainability Reporting Standard AASB S2 ( </w:t>
      </w:r>
      <w:r w:rsidDel="00000000" w:rsidR="00000000" w:rsidRPr="00000000">
        <w:rPr>
          <w:i w:val="1"/>
          <w:iCs w:val="1"/>
          <w:rtl w:val="0"/>
        </w:rPr>
        <w:t xml:space="preserve">Climate-related Disclosures</w:t>
      </w:r>
      <w:r w:rsidDel="00000000" w:rsidR="00000000" w:rsidRPr="00000000">
        <w:rPr>
          <w:rtl w:val="0"/>
        </w:rPr>
        <w:t xml:space="preserve"> ) sets mandatory disclosure requirements regarding climate-related risks and opportunities (AASB S2, Preface). The core objective of AASB S2 is to mandate entities to provide information about their climate-related risks and opportunities that is useful to primary users of general-purpose financial reports—specifically existing and potential investors, lenders, and other creditors—in making resource allocation decisions (AASB S2, Paragraph 1; AASB S2, Appendix A).The Standard mandates reporting on climate-related physical risks (both acute weather events and chronic climatic shifts), climate-related transition risks (including policy, legal, technological, market, and reputational risks), and climate-related opportunities (AASB S2, Paragraph 3; AASB S2, Appendix A). AASB S2 forms a direct extension of general-purpose financial reporting (AASB S2, Paragraph 1). Following statutory amendments under the  </w:t>
      </w:r>
      <w:r w:rsidDel="00000000" w:rsidR="00000000" w:rsidRPr="00000000">
        <w:rPr>
          <w:i w:val="1"/>
          <w:iCs w:val="1"/>
          <w:rtl w:val="0"/>
        </w:rPr>
        <w:t xml:space="preserve">Treasury Laws Amendment (Financial Market Infrastructure and Other Measures) Act 2024</w:t>
      </w:r>
      <w:r w:rsidDel="00000000" w:rsidR="00000000" w:rsidRPr="00000000">
        <w:rPr>
          <w:rtl w:val="0"/>
        </w:rPr>
        <w:t xml:space="preserve">  and section 292A(2) of the  </w:t>
      </w:r>
      <w:r w:rsidDel="00000000" w:rsidR="00000000" w:rsidRPr="00000000">
        <w:rPr>
          <w:i w:val="1"/>
          <w:iCs w:val="1"/>
          <w:rtl w:val="0"/>
        </w:rPr>
        <w:t xml:space="preserve">Corporations Act 2001</w:t>
      </w:r>
      <w:r w:rsidDel="00000000" w:rsidR="00000000" w:rsidRPr="00000000">
        <w:rPr>
          <w:rtl w:val="0"/>
        </w:rPr>
        <w:t xml:space="preserve"> , a parent entity preparing a sustainability report is granted the statutory choice to prepare disclosures either for the consolidated entity or for the parent entity alone (AASB S2, Comparison with IFRS S2, paragraph (c)). This statutory intent governs the entity scope and phased rollout timeline established under Australian law.</w:t>
      </w:r>
    </w:p>
    <w:p w:rsidR="00000000" w:rsidDel="00000000" w:rsidP="00000000" w:rsidRDefault="00000000" w:rsidRPr="00000000" w14:paraId="00000004">
      <w:pPr>
        <w:pStyle w:val="Heading5"/>
        <w:rPr/>
      </w:pPr>
      <w:bookmarkStart w:colFirst="0" w:colLast="0" w:name="_px1dg9xu3r7d" w:id="2"/>
      <w:bookmarkEnd w:id="2"/>
      <w:r w:rsidDel="00000000" w:rsidR="00000000" w:rsidRPr="00000000">
        <w:rPr>
          <w:rtl w:val="0"/>
        </w:rPr>
        <w:t xml:space="preserve">2. Entity Scope and Phased Implementation Timeline</w:t>
      </w:r>
    </w:p>
    <w:p w:rsidR="00000000" w:rsidDel="00000000" w:rsidP="00000000" w:rsidRDefault="00000000" w:rsidRPr="00000000" w14:paraId="00000005">
      <w:pPr>
        <w:rPr/>
      </w:pPr>
      <w:r w:rsidDel="00000000" w:rsidR="00000000" w:rsidRPr="00000000">
        <w:rPr>
          <w:rtl w:val="0"/>
        </w:rPr>
        <w:t xml:space="preserve">Regulatory bodies phase statutory compliance to balance corporate capacity against the imperative to address systemic financial risks across markets. For legal purposes, the legislative instrument for AASB S2 commences on 31 December 2024 (AASB S2, Paragraph Aus37.2) and formally applies to annual reporting periods beginning on or after 1 January 2025 (AASB S2, Preface).The  </w:t>
      </w:r>
      <w:r w:rsidDel="00000000" w:rsidR="00000000" w:rsidRPr="00000000">
        <w:rPr>
          <w:i w:val="1"/>
          <w:iCs w:val="1"/>
          <w:rtl w:val="0"/>
        </w:rPr>
        <w:t xml:space="preserve">Corporations Act 2001</w:t>
      </w:r>
      <w:r w:rsidDel="00000000" w:rsidR="00000000" w:rsidRPr="00000000">
        <w:rPr>
          <w:rtl w:val="0"/>
        </w:rPr>
        <w:t xml:space="preserve">  serves as the legal mechanism defining entity coverage, establishing three staggered implementation commencement dates for different classes of entities: annual periods beginning on or after 1 January 2025, 1 July 2026, and 1 July 2027 (AASB S2, Preface). However, specific numerical thresholds defining the "two-of-three corporate size test" and the precise criteria separating entities into Groups 1, 2, and 3 are  </w:t>
      </w:r>
      <w:r w:rsidDel="00000000" w:rsidR="00000000" w:rsidRPr="00000000">
        <w:rPr>
          <w:b w:val="1"/>
          <w:bCs w:val="1"/>
          <w:rtl w:val="0"/>
        </w:rPr>
        <w:t xml:space="preserve">not provided in the source text</w:t>
      </w:r>
      <w:r w:rsidDel="00000000" w:rsidR="00000000" w:rsidRPr="00000000">
        <w:rPr>
          <w:rtl w:val="0"/>
        </w:rPr>
        <w:t xml:space="preserve"> . Understanding how these statutory obligations are enforced requires an examination of the institutional regulatory architecture overseeing Australian corporate reporting.</w:t>
      </w:r>
    </w:p>
    <w:p w:rsidR="00000000" w:rsidDel="00000000" w:rsidP="00000000" w:rsidRDefault="00000000" w:rsidRPr="00000000" w14:paraId="00000006">
      <w:pPr>
        <w:pStyle w:val="Heading5"/>
        <w:rPr/>
      </w:pPr>
      <w:bookmarkStart w:colFirst="0" w:colLast="0" w:name="_sqwpmjadleub" w:id="3"/>
      <w:bookmarkEnd w:id="3"/>
      <w:r w:rsidDel="00000000" w:rsidR="00000000" w:rsidRPr="00000000">
        <w:rPr>
          <w:rtl w:val="0"/>
        </w:rPr>
        <w:t xml:space="preserve">3. Institutional Regulatory Roles (AASB, ASIC, and Treasury)</w:t>
      </w:r>
    </w:p>
    <w:p w:rsidR="00000000" w:rsidDel="00000000" w:rsidP="00000000" w:rsidRDefault="00000000" w:rsidRPr="00000000" w14:paraId="00000007">
      <w:pPr>
        <w:rPr/>
      </w:pPr>
      <w:r w:rsidDel="00000000" w:rsidR="00000000" w:rsidRPr="00000000">
        <w:rPr>
          <w:rtl w:val="0"/>
        </w:rPr>
        <w:t xml:space="preserve">Australia’s corporate governance infrastructure relies on a precise administrative division between standard-setting authority and legal legislative framework design. The  </w:t>
      </w:r>
      <w:r w:rsidDel="00000000" w:rsidR="00000000" w:rsidRPr="00000000">
        <w:rPr>
          <w:b w:val="1"/>
          <w:bCs w:val="1"/>
          <w:rtl w:val="0"/>
        </w:rPr>
        <w:t xml:space="preserve">Australian Accounting Standards Board (AASB)</w:t>
      </w:r>
      <w:r w:rsidDel="00000000" w:rsidR="00000000" w:rsidRPr="00000000">
        <w:rPr>
          <w:rtl w:val="0"/>
        </w:rPr>
        <w:t xml:space="preserve">  is an Australian Government entity established under the  </w:t>
      </w:r>
      <w:r w:rsidDel="00000000" w:rsidR="00000000" w:rsidRPr="00000000">
        <w:rPr>
          <w:i w:val="1"/>
          <w:iCs w:val="1"/>
          <w:rtl w:val="0"/>
        </w:rPr>
        <w:t xml:space="preserve">Australian Securities and Investments Commission Act 2001</w:t>
      </w:r>
      <w:r w:rsidDel="00000000" w:rsidR="00000000" w:rsidRPr="00000000">
        <w:rPr>
          <w:rtl w:val="0"/>
        </w:rPr>
        <w:t xml:space="preserve"> , responsible for developing, issuing, and maintaining Australian Sustainability Reporting Standards pursuant to section 336A of the  </w:t>
      </w:r>
      <w:r w:rsidDel="00000000" w:rsidR="00000000" w:rsidRPr="00000000">
        <w:rPr>
          <w:i w:val="1"/>
          <w:iCs w:val="1"/>
          <w:rtl w:val="0"/>
        </w:rPr>
        <w:t xml:space="preserve">Corporations Act 2001</w:t>
      </w:r>
      <w:r w:rsidDel="00000000" w:rsidR="00000000" w:rsidRPr="00000000">
        <w:rPr>
          <w:rtl w:val="0"/>
        </w:rPr>
        <w:t xml:space="preserve">  (AASB S2, Preface).</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Australian Corporate Governance                      │</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AASB                     │ Sets AASB S2 standards under section 336A   │</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(ASIC Act 2001 entity)   │ of the Corporations Act 2001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Treasury                 │ Enacts legislative amendments (e.g., s 292A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flexibility for parent vs. consolidated)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ASIC                     │ Statutory reference authority under the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ASIC Act 2001 (enforcement specifics absent)│</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statutory framework is framed by  </w:t>
      </w:r>
      <w:r w:rsidDel="00000000" w:rsidR="00000000" w:rsidRPr="00000000">
        <w:rPr>
          <w:b w:val="1"/>
          <w:bCs w:val="1"/>
          <w:rtl w:val="0"/>
        </w:rPr>
        <w:t xml:space="preserve">Treasury</w:t>
      </w:r>
      <w:r w:rsidDel="00000000" w:rsidR="00000000" w:rsidRPr="00000000">
        <w:rPr>
          <w:rtl w:val="0"/>
        </w:rPr>
        <w:t xml:space="preserve">  legislative updates, notably the  </w:t>
      </w:r>
      <w:r w:rsidDel="00000000" w:rsidR="00000000" w:rsidRPr="00000000">
        <w:rPr>
          <w:i w:val="1"/>
          <w:iCs w:val="1"/>
          <w:rtl w:val="0"/>
        </w:rPr>
        <w:t xml:space="preserve">Treasury Laws Amendment (Financial Market Infrastructure and Other Measures) Act 2024</w:t>
      </w:r>
      <w:r w:rsidDel="00000000" w:rsidR="00000000" w:rsidRPr="00000000">
        <w:rPr>
          <w:rtl w:val="0"/>
        </w:rPr>
        <w:t xml:space="preserve"> , which modified reporting rights regarding parent versus consolidated entity disclosures under section 292A(2) of the  </w:t>
      </w:r>
      <w:r w:rsidDel="00000000" w:rsidR="00000000" w:rsidRPr="00000000">
        <w:rPr>
          <w:i w:val="1"/>
          <w:iCs w:val="1"/>
          <w:rtl w:val="0"/>
        </w:rPr>
        <w:t xml:space="preserve">Corporations Act 2001</w:t>
      </w:r>
      <w:r w:rsidDel="00000000" w:rsidR="00000000" w:rsidRPr="00000000">
        <w:rPr>
          <w:rtl w:val="0"/>
        </w:rPr>
        <w:t xml:space="preserve">  (AASB S2, Comparison with IFRS S2, paragraph (c)). With respect to the  </w:t>
      </w:r>
      <w:r w:rsidDel="00000000" w:rsidR="00000000" w:rsidRPr="00000000">
        <w:rPr>
          <w:b w:val="1"/>
          <w:bCs w:val="1"/>
          <w:rtl w:val="0"/>
        </w:rPr>
        <w:t xml:space="preserve">Australian Securities and Investments Commission (ASIC)</w:t>
      </w:r>
      <w:r w:rsidDel="00000000" w:rsidR="00000000" w:rsidRPr="00000000">
        <w:rPr>
          <w:rtl w:val="0"/>
        </w:rPr>
        <w:t xml:space="preserve"> , the provided source material references ASIC solely as the enabling statutory act ( </w:t>
      </w:r>
      <w:r w:rsidDel="00000000" w:rsidR="00000000" w:rsidRPr="00000000">
        <w:rPr>
          <w:i w:val="1"/>
          <w:iCs w:val="1"/>
          <w:rtl w:val="0"/>
        </w:rPr>
        <w:t xml:space="preserve">ASIC Act 2001</w:t>
      </w:r>
      <w:r w:rsidDel="00000000" w:rsidR="00000000" w:rsidRPr="00000000">
        <w:rPr>
          <w:rtl w:val="0"/>
        </w:rPr>
        <w:t xml:space="preserve"> ) under which the AASB operates; detailed regulatory enforcement powers, liability relief periods, or explicit ASIC audit oversight mechanisms were  </w:t>
      </w:r>
      <w:r w:rsidDel="00000000" w:rsidR="00000000" w:rsidRPr="00000000">
        <w:rPr>
          <w:b w:val="1"/>
          <w:bCs w:val="1"/>
          <w:rtl w:val="0"/>
        </w:rPr>
        <w:t xml:space="preserve">not found in the source text</w:t>
      </w:r>
      <w:r w:rsidDel="00000000" w:rsidR="00000000" w:rsidRPr="00000000">
        <w:rPr>
          <w:rtl w:val="0"/>
        </w:rPr>
        <w:t xml:space="preserve"> . These oversight bodies collectively enforce compliance across the internal disclosure pillars mandated by AASB S2.</w:t>
      </w:r>
    </w:p>
    <w:p w:rsidR="00000000" w:rsidDel="00000000" w:rsidP="00000000" w:rsidRDefault="00000000" w:rsidRPr="00000000" w14:paraId="00000016">
      <w:pPr>
        <w:pStyle w:val="Heading5"/>
        <w:rPr/>
      </w:pPr>
      <w:bookmarkStart w:colFirst="0" w:colLast="0" w:name="_65pf5u4dnr7b" w:id="4"/>
      <w:bookmarkEnd w:id="4"/>
      <w:r w:rsidDel="00000000" w:rsidR="00000000" w:rsidRPr="00000000">
        <w:rPr>
          <w:rtl w:val="0"/>
        </w:rPr>
        <w:t xml:space="preserve">4. The Four Pillars of AASB S2 Disclosures</w:t>
      </w:r>
    </w:p>
    <w:p w:rsidR="00000000" w:rsidDel="00000000" w:rsidP="00000000" w:rsidRDefault="00000000" w:rsidRPr="00000000" w14:paraId="00000017">
      <w:pPr>
        <w:rPr/>
      </w:pPr>
      <w:r w:rsidDel="00000000" w:rsidR="00000000" w:rsidRPr="00000000">
        <w:rPr>
          <w:rtl w:val="0"/>
        </w:rPr>
        <w:t xml:space="preserve">AASB S2 incorporates the core structural pillars of IFRS S2—Governance, Strategy, Risk Management, and Metrics and Targets—while incorporating Australian-specific structural modifications, such as rendering concurrent application of general sustainability standard AASB S1 voluntary rather than mandatory (AASB S2, Comparison with IFRS S2, paragraph (a); AASB S2, Appendix D).</w:t>
      </w:r>
    </w:p>
    <w:p w:rsidR="00000000" w:rsidDel="00000000" w:rsidP="00000000" w:rsidRDefault="00000000" w:rsidRPr="00000000" w14:paraId="00000018">
      <w:pPr>
        <w:pStyle w:val="Heading6"/>
        <w:rPr/>
      </w:pPr>
      <w:bookmarkStart w:colFirst="0" w:colLast="0" w:name="_jmdr3yybzr39" w:id="5"/>
      <w:bookmarkEnd w:id="5"/>
      <w:r w:rsidDel="00000000" w:rsidR="00000000" w:rsidRPr="00000000">
        <w:rPr>
          <w:rtl w:val="0"/>
        </w:rPr>
        <w:t xml:space="preserve">4.1 Governance &amp; Strategy</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Governance:</w:t>
      </w:r>
      <w:r w:rsidDel="00000000" w:rsidR="00000000" w:rsidRPr="00000000">
        <w:rPr>
          <w:rtl w:val="0"/>
        </w:rPr>
        <w:t xml:space="preserve">  Entities must disclose governance processes, controls, and procedures used to monitor climate risks and opportunities (AASB S2, Paragraph 5). Disclosures must detail board oversight, body mandate policies, processes for evaluating skills and competencies, update frequencies, strategic consideration of trade-offs, and performance metric links within executive remuneration (AASB S2, Paragraph 6(a)(v)). Management's operational role and delegated controls must also be disclosed (AASB S2, Paragraph 6(b)).</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Strategy:</w:t>
      </w:r>
      <w:r w:rsidDel="00000000" w:rsidR="00000000" w:rsidRPr="00000000">
        <w:rPr>
          <w:rtl w:val="0"/>
        </w:rPr>
        <w:t xml:space="preserve">  Entities must disclose identified physical and transition risks across short, medium, and long-term planning horizons, alongside business model effects and climate transition plans (AASB S2, Paragraphs 8–14). Strategy disclosures require climate resilience assessments using scenario analysis (AASB S2, Paragraph 22). Among selected scenarios, entities must include a climate-related scenario aligned with the latest international agreement on climate change, specifically the Paris Agreement (December 2015) (AASB S2, Paragraph 22(b)(i)(4); AASB S2, Appendix A).</w:t>
      </w:r>
    </w:p>
    <w:p w:rsidR="00000000" w:rsidDel="00000000" w:rsidP="00000000" w:rsidRDefault="00000000" w:rsidRPr="00000000" w14:paraId="0000001B">
      <w:pPr>
        <w:pStyle w:val="Heading6"/>
        <w:rPr/>
      </w:pPr>
      <w:bookmarkStart w:colFirst="0" w:colLast="0" w:name="_tgamczh915s6" w:id="6"/>
      <w:bookmarkEnd w:id="6"/>
      <w:r w:rsidDel="00000000" w:rsidR="00000000" w:rsidRPr="00000000">
        <w:rPr>
          <w:rtl w:val="0"/>
        </w:rPr>
        <w:t xml:space="preserve">4.2 Risk Management &amp; Metrics/Targets</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Risk Management:</w:t>
      </w:r>
      <w:r w:rsidDel="00000000" w:rsidR="00000000" w:rsidRPr="00000000">
        <w:rPr>
          <w:rtl w:val="0"/>
        </w:rPr>
        <w:t xml:space="preserve">  Reporting entities must detail their operational processes for identifying, assessing, prioritizing, and monitoring climate risks and opportunities, explicitly noting how these processes integrate into the overarching corporate risk management framework (AASB S2, Paragraphs 24–26).</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Metrics &amp; Targets:</w:t>
      </w:r>
      <w:r w:rsidDel="00000000" w:rsidR="00000000" w:rsidRPr="00000000">
        <w:rPr>
          <w:rtl w:val="0"/>
        </w:rPr>
        <w:t xml:space="preserve">  Entities must report cross-industry metrics, including absolute gross Scope 1, location-based Scope 2, and Scope 3 greenhouse gas emissions measured under the GHG Protocol (AASB S2, Paragraph 29(a)). Scope 3 emissions must encompass all applicable categories out of the 15 standard value chain categories (AASB S2, Paragraph 29(a)(vi); AASB S2, Appendix A).</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Scope 3 Greenhouse Gas Value Chain Categories</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Upstream &amp; Operational Categories (1–14)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Purchased Goods &amp; Services (1)       • Capital Goods (2)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Fuel &amp; Energy Activities (3)         • Upstream Transport (4)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Waste in Operations (5)              • Business Travel (6)            │</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Employee Commuting (7)               • Upstream Leased Assets (8)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Downstream Transport (9)             • Processing Sold Products (10)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of Sold Products (11)            • End-of-Life Treatment (12)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Downstream Leased Assets (13)        • Franchises (14)                │</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Category 15: Investments (Financed Emissions)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Asset Management • Commercial Banking • Insurance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Entities must disclose internal carbon pricing mechanisms—distinguishing between shadow prices and internal taxes or fees—and report the percentage of executive management remuneration recognized in the current period that is linked to climate considerations (AASB S2, Paragraph 29(f)–(g); AASB S2, Appendix A). Targets must specify whether they are gross or net, and disclose planned reliance on carbon credits verified by third-party schemes (AASB S2, Paragraph 36). Specialized disclosure requirements apply to financial institutions participating in asset management, commercial banking, or insurance regarding Scope 3 Category 15  </w:t>
      </w:r>
      <w:r w:rsidDel="00000000" w:rsidR="00000000" w:rsidRPr="00000000">
        <w:rPr>
          <w:b w:val="1"/>
          <w:bCs w:val="1"/>
          <w:rtl w:val="0"/>
        </w:rPr>
        <w:t xml:space="preserve">financed emissions</w:t>
      </w:r>
      <w:r w:rsidDel="00000000" w:rsidR="00000000" w:rsidRPr="00000000">
        <w:rPr>
          <w:rtl w:val="0"/>
        </w:rPr>
        <w:t xml:space="preserve"> , requiring disaggregation by Scope, asset class, and Global Industry Classification Standard (GICS) 6-digit codes reflecting the version with amendments up to August 2024 (AASB S2, Paragraphs B58–B63, AusB63.1).These comprehensive reporting pillars dictate significant structural changes for financial and operational management.</w:t>
      </w:r>
    </w:p>
    <w:p w:rsidR="00000000" w:rsidDel="00000000" w:rsidP="00000000" w:rsidRDefault="00000000" w:rsidRPr="00000000" w14:paraId="0000002E">
      <w:pPr>
        <w:pStyle w:val="Heading5"/>
        <w:rPr/>
      </w:pPr>
      <w:bookmarkStart w:colFirst="0" w:colLast="0" w:name="_4sf2m37i2ivu" w:id="7"/>
      <w:bookmarkEnd w:id="7"/>
      <w:r w:rsidDel="00000000" w:rsidR="00000000" w:rsidRPr="00000000">
        <w:rPr>
          <w:rtl w:val="0"/>
        </w:rPr>
        <w:t xml:space="preserve">5. Practical Compliance Implications for Organisations</w:t>
      </w:r>
    </w:p>
    <w:p w:rsidR="00000000" w:rsidDel="00000000" w:rsidP="00000000" w:rsidRDefault="00000000" w:rsidRPr="00000000" w14:paraId="0000002F">
      <w:pPr>
        <w:rPr/>
      </w:pPr>
      <w:r w:rsidDel="00000000" w:rsidR="00000000" w:rsidRPr="00000000">
        <w:rPr>
          <w:rtl w:val="0"/>
        </w:rPr>
        <w:t xml:space="preserve">Transitioning from voluntary ESG reporting to mandatory, audit-ready compliance under AASB S2 demands rigorous operational adaptation. Organizations must build primary and secondary data collection networks across upstream and downstream value chain partners to satisfy Scope 3 measurement requirements across applicable categories (AASB S2, Paragraphs B32–B57). Furthermore, entities must build technical capability for scenario analysis; while simpler qualitative scenario narratives are permitted for entities with lower risk exposure or limited capabilities, entities with high climate risk exposure or access to resources are required to deploy technically advanced quantitative modeling over time (AASB S2, Paragraphs B1–B18).Internal alignment also requires embedding climate metrics into executive remuneration structures (AASB S2, Paragraph 29(g)) and utilizing internal carbon pricing (shadow pricing or internal fees) to evaluate economic trade-offs in investment and capital expenditure decisions (AASB S2, Appendix A). Establishing these internal frameworks highlights the boundary between standard-specific disclosures and broader statutory verification requirements.</w:t>
      </w:r>
    </w:p>
    <w:p w:rsidR="00000000" w:rsidDel="00000000" w:rsidP="00000000" w:rsidRDefault="00000000" w:rsidRPr="00000000" w14:paraId="00000030">
      <w:pPr>
        <w:pStyle w:val="Heading5"/>
        <w:rPr/>
      </w:pPr>
      <w:bookmarkStart w:colFirst="0" w:colLast="0" w:name="_8gegjbsxos3x" w:id="8"/>
      <w:bookmarkEnd w:id="8"/>
      <w:r w:rsidDel="00000000" w:rsidR="00000000" w:rsidRPr="00000000">
        <w:rPr>
          <w:rtl w:val="0"/>
        </w:rPr>
        <w:t xml:space="preserve">6. Points Requiring Human Verification</w:t>
      </w:r>
    </w:p>
    <w:p w:rsidR="00000000" w:rsidDel="00000000" w:rsidP="00000000" w:rsidRDefault="00000000" w:rsidRPr="00000000" w14:paraId="00000031">
      <w:pPr>
        <w:rPr/>
      </w:pPr>
      <w:r w:rsidDel="00000000" w:rsidR="00000000" w:rsidRPr="00000000">
        <w:rPr>
          <w:rtl w:val="0"/>
        </w:rPr>
        <w:t xml:space="preserve">To ensure complete regulatory compliance, reporting entities must conduct external verification for specific statutory criteria that fall outside the scope of the AASB S2 Standard text:</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Corporate Size Test Metrics:</w:t>
      </w:r>
      <w:r w:rsidDel="00000000" w:rsidR="00000000" w:rsidRPr="00000000">
        <w:rPr>
          <w:rtl w:val="0"/>
        </w:rPr>
        <w:t xml:space="preserve">  Specific numerical thresholds (asset values, revenue totals, or employee counts) defining the statutory "two-of-three corporate size test" under the  </w:t>
      </w:r>
      <w:r w:rsidDel="00000000" w:rsidR="00000000" w:rsidRPr="00000000">
        <w:rPr>
          <w:i w:val="1"/>
          <w:iCs w:val="1"/>
          <w:rtl w:val="0"/>
        </w:rPr>
        <w:t xml:space="preserve">Corporations Act 2001</w:t>
      </w:r>
      <w:r w:rsidDel="00000000" w:rsidR="00000000" w:rsidRPr="00000000">
        <w:rPr>
          <w:rtl w:val="0"/>
        </w:rPr>
        <w:t xml:space="preserve"> .</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Implementation Group Criteria:</w:t>
      </w:r>
      <w:r w:rsidDel="00000000" w:rsidR="00000000" w:rsidRPr="00000000">
        <w:rPr>
          <w:rtl w:val="0"/>
        </w:rPr>
        <w:t xml:space="preserve">  Detailed legal entity definitions establishing which organizations fall precisely into Group 1, Group 2, or Group 3 compliance cohorts.</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ASIC Regulatory Mandate:</w:t>
      </w:r>
      <w:r w:rsidDel="00000000" w:rsidR="00000000" w:rsidRPr="00000000">
        <w:rPr>
          <w:rtl w:val="0"/>
        </w:rPr>
        <w:t xml:space="preserve">  Detailed operational guidelines regarding ASIC’s specific statutory enforcement powers, modified liability or temporary legal relief provisions, and audit oversight rules.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