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dx6wsgpgtbd5" w:id="0"/>
      <w:bookmarkEnd w:id="0"/>
      <w:r w:rsidDel="00000000" w:rsidR="00000000" w:rsidRPr="00000000">
        <w:rPr>
          <w:rtl w:val="0"/>
        </w:rPr>
        <w:t xml:space="preserve">Study Guide: Australian Mandatory Climate Reporting (AASB S2)</w:t>
      </w:r>
    </w:p>
    <w:p w:rsidR="00000000" w:rsidDel="00000000" w:rsidP="00000000" w:rsidRDefault="00000000" w:rsidRPr="00000000" w14:paraId="00000002">
      <w:pPr>
        <w:pStyle w:val="Heading4"/>
        <w:rPr/>
      </w:pPr>
      <w:bookmarkStart w:colFirst="0" w:colLast="0" w:name="_rvm6pmcimauz" w:id="1"/>
      <w:bookmarkEnd w:id="1"/>
      <w:r w:rsidDel="00000000" w:rsidR="00000000" w:rsidRPr="00000000">
        <w:rPr>
          <w:rtl w:val="0"/>
        </w:rPr>
        <w:t xml:space="preserve">Section 1: Summary of the Reporting Framework</w:t>
      </w:r>
    </w:p>
    <w:p w:rsidR="00000000" w:rsidDel="00000000" w:rsidP="00000000" w:rsidRDefault="00000000" w:rsidRPr="00000000" w14:paraId="00000003">
      <w:pPr>
        <w:rPr/>
      </w:pPr>
      <w:r w:rsidDel="00000000" w:rsidR="00000000" w:rsidRPr="00000000">
        <w:rPr>
          <w:rtl w:val="0"/>
        </w:rPr>
        <w:t xml:space="preserve">The Australian Sustainability Reporting Standard  </w:t>
      </w:r>
      <w:r w:rsidDel="00000000" w:rsidR="00000000" w:rsidRPr="00000000">
        <w:rPr>
          <w:b w:val="1"/>
          <w:bCs w:val="1"/>
          <w:rtl w:val="0"/>
        </w:rPr>
        <w:t xml:space="preserve">AASB S2</w:t>
      </w:r>
      <w:r w:rsidDel="00000000" w:rsidR="00000000" w:rsidRPr="00000000">
        <w:rPr>
          <w:rtl w:val="0"/>
        </w:rPr>
        <w:t xml:space="preserve">  </w:t>
      </w:r>
      <w:r w:rsidDel="00000000" w:rsidR="00000000" w:rsidRPr="00000000">
        <w:rPr>
          <w:b w:val="1"/>
          <w:bCs w:val="1"/>
          <w:i w:val="1"/>
          <w:iCs w:val="1"/>
          <w:rtl w:val="0"/>
        </w:rPr>
        <w:t xml:space="preserve">Climate-related Disclosures</w:t>
      </w:r>
      <w:r w:rsidDel="00000000" w:rsidR="00000000" w:rsidRPr="00000000">
        <w:rPr>
          <w:rtl w:val="0"/>
        </w:rPr>
        <w:t xml:space="preserve">  (issued in September 2024 by the Australian Accounting Standards Board) sets out mandatory requirements for entities to disclose material information regarding climate-related risks and opportunities. The standard is designed to ensure that primary users of general purpose financial reports (existing and potential investors, lenders, and other creditors) receive decision-useful information regarding how climate change affects an entity's cash flows, access to finance, and cost of capital over the short, medium, and long term.</w:t>
      </w:r>
    </w:p>
    <w:p w:rsidR="00000000" w:rsidDel="00000000" w:rsidP="00000000" w:rsidRDefault="00000000" w:rsidRPr="00000000" w14:paraId="0000000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0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AASB S2 CORE ARCHITECTURE                              |</w:t>
      </w:r>
    </w:p>
    <w:p w:rsidR="00000000" w:rsidDel="00000000" w:rsidP="00000000" w:rsidRDefault="00000000" w:rsidRPr="00000000" w14:paraId="0000000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0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1. GOVERNANCE (Paras 5–7)                                                       |</w:t>
      </w:r>
    </w:p>
    <w:p w:rsidR="00000000" w:rsidDel="00000000" w:rsidP="00000000" w:rsidRDefault="00000000" w:rsidRPr="00000000" w14:paraId="0000000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Board oversight, terms of reference, skills, and management's role.         |</w:t>
      </w:r>
    </w:p>
    <w:p w:rsidR="00000000" w:rsidDel="00000000" w:rsidP="00000000" w:rsidRDefault="00000000" w:rsidRPr="00000000" w14:paraId="0000000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2. STRATEGY (Paras 8–23)                                                         |</w:t>
      </w:r>
    </w:p>
    <w:p w:rsidR="00000000" w:rsidDel="00000000" w:rsidP="00000000" w:rsidRDefault="00000000" w:rsidRPr="00000000" w14:paraId="0000000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Physical/transition risks, value chain impact, transition plans, scenario   |</w:t>
      </w:r>
    </w:p>
    <w:p w:rsidR="00000000" w:rsidDel="00000000" w:rsidP="00000000" w:rsidRDefault="00000000" w:rsidRPr="00000000" w14:paraId="0000000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analysis, and financial position/performance effects.                       |</w:t>
      </w:r>
    </w:p>
    <w:p w:rsidR="00000000" w:rsidDel="00000000" w:rsidP="00000000" w:rsidRDefault="00000000" w:rsidRPr="00000000" w14:paraId="0000000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3. RISK MANAGEMENT (Paras 24–26)                                                 |</w:t>
      </w:r>
    </w:p>
    <w:p w:rsidR="00000000" w:rsidDel="00000000" w:rsidP="00000000" w:rsidRDefault="00000000" w:rsidRPr="00000000" w14:paraId="0000000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Processes to identify, assess, prioritise, and monitor climate risks/opps.  |</w:t>
      </w:r>
    </w:p>
    <w:p w:rsidR="00000000" w:rsidDel="00000000" w:rsidP="00000000" w:rsidRDefault="00000000" w:rsidRPr="00000000" w14:paraId="0000000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4. METRICS &amp; TARGETS (Paras 27–Aus37.1)                                          |</w:t>
      </w:r>
    </w:p>
    <w:p w:rsidR="00000000" w:rsidDel="00000000" w:rsidP="00000000" w:rsidRDefault="00000000" w:rsidRPr="00000000" w14:paraId="0000000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Scope 1, 2, 3 GHG emissions, cross-industry metrics, internal carbon        |</w:t>
      </w:r>
    </w:p>
    <w:p w:rsidR="00000000" w:rsidDel="00000000" w:rsidP="00000000" w:rsidRDefault="00000000" w:rsidRPr="00000000" w14:paraId="0000001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prices, executive remuneration, and target monitoring.                      |</w:t>
      </w:r>
    </w:p>
    <w:p w:rsidR="00000000" w:rsidDel="00000000" w:rsidP="00000000" w:rsidRDefault="00000000" w:rsidRPr="00000000" w14:paraId="0000001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1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APPENDIX D: STANDALONE GENERAL REQUIREMENTS                                      |</w:t>
      </w:r>
    </w:p>
    <w:p w:rsidR="00000000" w:rsidDel="00000000" w:rsidP="00000000" w:rsidRDefault="00000000" w:rsidRPr="00000000" w14:paraId="0000001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Incorporates mandatory concepts from IFRS S1 (location, timing, judgements).   |</w:t>
      </w:r>
    </w:p>
    <w:p w:rsidR="00000000" w:rsidDel="00000000" w:rsidP="00000000" w:rsidRDefault="00000000" w:rsidRPr="00000000" w14:paraId="0000001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AASB S1 remains a voluntary standard in Australia.                             |</w:t>
      </w:r>
    </w:p>
    <w:p w:rsidR="00000000" w:rsidDel="00000000" w:rsidP="00000000" w:rsidRDefault="00000000" w:rsidRPr="00000000" w14:paraId="0000001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16">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7">
      <w:pPr>
        <w:pStyle w:val="Heading5"/>
        <w:rPr/>
      </w:pPr>
      <w:bookmarkStart w:colFirst="0" w:colLast="0" w:name="_tbu9pv67wkhk" w:id="2"/>
      <w:bookmarkEnd w:id="2"/>
      <w:r w:rsidDel="00000000" w:rsidR="00000000" w:rsidRPr="00000000">
        <w:rPr>
          <w:rtl w:val="0"/>
        </w:rPr>
        <w:t xml:space="preserve">Key Dimensions of the Australian Framework</w:t>
      </w:r>
    </w:p>
    <w:p w:rsidR="00000000" w:rsidDel="00000000" w:rsidP="00000000" w:rsidRDefault="00000000" w:rsidRPr="00000000" w14:paraId="00000018">
      <w:pPr>
        <w:numPr>
          <w:ilvl w:val="0"/>
          <w:numId w:val="5"/>
        </w:numPr>
        <w:ind w:left="720" w:hanging="360"/>
        <w:rPr>
          <w:u w:val="none"/>
        </w:rPr>
      </w:pPr>
      <w:r w:rsidDel="00000000" w:rsidR="00000000" w:rsidRPr="00000000">
        <w:rPr>
          <w:b w:val="1"/>
          <w:bCs w:val="1"/>
          <w:rtl w:val="0"/>
        </w:rPr>
        <w:t xml:space="preserve">Alignment with International Standards:</w:t>
      </w:r>
      <w:r w:rsidDel="00000000" w:rsidR="00000000" w:rsidRPr="00000000">
        <w:rPr>
          <w:rtl w:val="0"/>
        </w:rPr>
        <w:t xml:space="preserve">  AASB S2 is built upon the International Sustainability Standards Board (ISSB) Standard IFRS S2  </w:t>
      </w:r>
      <w:r w:rsidDel="00000000" w:rsidR="00000000" w:rsidRPr="00000000">
        <w:rPr>
          <w:i w:val="1"/>
          <w:iCs w:val="1"/>
          <w:rtl w:val="0"/>
        </w:rPr>
        <w:t xml:space="preserve">Climate-related Disclosures</w:t>
      </w:r>
      <w:r w:rsidDel="00000000" w:rsidR="00000000" w:rsidRPr="00000000">
        <w:rPr>
          <w:rtl w:val="0"/>
        </w:rPr>
        <w:t xml:space="preserve"> . However, the AASB modified the international text to suit the Australian legal context. Key modifications include omitting mandatory industry-based metrics requirements, introducing Australian specific application guidance (prefixed with "Aus"), and tailoring reporting entity definitions to align with Australian corporate law.</w:t>
      </w:r>
    </w:p>
    <w:p w:rsidR="00000000" w:rsidDel="00000000" w:rsidP="00000000" w:rsidRDefault="00000000" w:rsidRPr="00000000" w14:paraId="00000019">
      <w:pPr>
        <w:numPr>
          <w:ilvl w:val="0"/>
          <w:numId w:val="5"/>
        </w:numPr>
        <w:ind w:left="720" w:hanging="360"/>
        <w:rPr>
          <w:u w:val="none"/>
        </w:rPr>
      </w:pPr>
      <w:r w:rsidDel="00000000" w:rsidR="00000000" w:rsidRPr="00000000">
        <w:rPr>
          <w:b w:val="1"/>
          <w:bCs w:val="1"/>
          <w:rtl w:val="0"/>
        </w:rPr>
        <w:t xml:space="preserve">Standalone Architecture via Appendix D:</w:t>
      </w:r>
      <w:r w:rsidDel="00000000" w:rsidR="00000000" w:rsidRPr="00000000">
        <w:rPr>
          <w:rtl w:val="0"/>
        </w:rPr>
        <w:t xml:space="preserve">  Unlike the global framework—where IFRS S2 must be applied alongside IFRS S1—the Australian framework treats  </w:t>
      </w:r>
      <w:r w:rsidDel="00000000" w:rsidR="00000000" w:rsidRPr="00000000">
        <w:rPr>
          <w:b w:val="1"/>
          <w:bCs w:val="1"/>
          <w:rtl w:val="0"/>
        </w:rPr>
        <w:t xml:space="preserve">AASB S1 as voluntary</w:t>
      </w:r>
      <w:r w:rsidDel="00000000" w:rsidR="00000000" w:rsidRPr="00000000">
        <w:rPr>
          <w:rtl w:val="0"/>
        </w:rPr>
        <w:t xml:space="preserve"> . To make AASB S2 function as a standalone mandatory standard, the AASB embedded the essential general disclosure requirements (conceptual foundations, reporting location, timing, errors, judgements, and uncertainties) directly into  </w:t>
      </w:r>
      <w:r w:rsidDel="00000000" w:rsidR="00000000" w:rsidRPr="00000000">
        <w:rPr>
          <w:b w:val="1"/>
          <w:bCs w:val="1"/>
          <w:rtl w:val="0"/>
        </w:rPr>
        <w:t xml:space="preserve">Appendix D of AASB S2</w:t>
      </w:r>
      <w:r w:rsidDel="00000000" w:rsidR="00000000" w:rsidRPr="00000000">
        <w:rPr>
          <w:rtl w:val="0"/>
        </w:rPr>
        <w:t xml:space="preserve"> .</w:t>
      </w:r>
    </w:p>
    <w:p w:rsidR="00000000" w:rsidDel="00000000" w:rsidP="00000000" w:rsidRDefault="00000000" w:rsidRPr="00000000" w14:paraId="0000001A">
      <w:pPr>
        <w:numPr>
          <w:ilvl w:val="0"/>
          <w:numId w:val="5"/>
        </w:numPr>
        <w:ind w:left="720" w:hanging="360"/>
        <w:rPr>
          <w:u w:val="none"/>
        </w:rPr>
      </w:pPr>
      <w:r w:rsidDel="00000000" w:rsidR="00000000" w:rsidRPr="00000000">
        <w:rPr>
          <w:b w:val="1"/>
          <w:bCs w:val="1"/>
          <w:rtl w:val="0"/>
        </w:rPr>
        <w:t xml:space="preserve">Legislative Mandate &amp; Phased Rollout:</w:t>
      </w:r>
      <w:r w:rsidDel="00000000" w:rsidR="00000000" w:rsidRPr="00000000">
        <w:rPr>
          <w:rtl w:val="0"/>
        </w:rPr>
        <w:t xml:space="preserve">  Mandatory reporting is empowered through amendments to the  </w:t>
      </w:r>
      <w:r w:rsidDel="00000000" w:rsidR="00000000" w:rsidRPr="00000000">
        <w:rPr>
          <w:i w:val="1"/>
          <w:iCs w:val="1"/>
          <w:rtl w:val="0"/>
        </w:rPr>
        <w:t xml:space="preserve">Corporations Act 2001</w:t>
      </w:r>
      <w:r w:rsidDel="00000000" w:rsidR="00000000" w:rsidRPr="00000000">
        <w:rPr>
          <w:rtl w:val="0"/>
        </w:rPr>
        <w:t xml:space="preserve">  via the  </w:t>
      </w:r>
      <w:r w:rsidDel="00000000" w:rsidR="00000000" w:rsidRPr="00000000">
        <w:rPr>
          <w:i w:val="1"/>
          <w:iCs w:val="1"/>
          <w:rtl w:val="0"/>
        </w:rPr>
        <w:t xml:space="preserve">Treasury Laws Amendment (Financial Market Infrastructure and Other Measures) Act 2024</w:t>
      </w:r>
      <w:r w:rsidDel="00000000" w:rsidR="00000000" w:rsidRPr="00000000">
        <w:rPr>
          <w:rtl w:val="0"/>
        </w:rPr>
        <w:t xml:space="preserve"> . The statutory requirement applies across three phased implementation cohorts based on corporate size, commencing for financial years beginning on or after:</w:t>
      </w:r>
    </w:p>
    <w:p w:rsidR="00000000" w:rsidDel="00000000" w:rsidP="00000000" w:rsidRDefault="00000000" w:rsidRPr="00000000" w14:paraId="0000001B">
      <w:pPr>
        <w:numPr>
          <w:ilvl w:val="0"/>
          <w:numId w:val="5"/>
        </w:numPr>
        <w:ind w:left="720" w:hanging="360"/>
        <w:rPr>
          <w:u w:val="none"/>
        </w:rPr>
      </w:pPr>
      <w:r w:rsidDel="00000000" w:rsidR="00000000" w:rsidRPr="00000000">
        <w:rPr>
          <w:b w:val="1"/>
          <w:bCs w:val="1"/>
          <w:rtl w:val="0"/>
        </w:rPr>
        <w:t xml:space="preserve">Group 1:</w:t>
      </w:r>
      <w:r w:rsidDel="00000000" w:rsidR="00000000" w:rsidRPr="00000000">
        <w:rPr>
          <w:rtl w:val="0"/>
        </w:rPr>
        <w:t xml:space="preserve">  1 January 2025</w:t>
      </w:r>
    </w:p>
    <w:p w:rsidR="00000000" w:rsidDel="00000000" w:rsidP="00000000" w:rsidRDefault="00000000" w:rsidRPr="00000000" w14:paraId="0000001C">
      <w:pPr>
        <w:numPr>
          <w:ilvl w:val="0"/>
          <w:numId w:val="5"/>
        </w:numPr>
        <w:ind w:left="720" w:hanging="360"/>
        <w:rPr>
          <w:u w:val="none"/>
        </w:rPr>
      </w:pPr>
      <w:r w:rsidDel="00000000" w:rsidR="00000000" w:rsidRPr="00000000">
        <w:rPr>
          <w:b w:val="1"/>
          <w:bCs w:val="1"/>
          <w:rtl w:val="0"/>
        </w:rPr>
        <w:t xml:space="preserve">Group 2:</w:t>
      </w:r>
      <w:r w:rsidDel="00000000" w:rsidR="00000000" w:rsidRPr="00000000">
        <w:rPr>
          <w:rtl w:val="0"/>
        </w:rPr>
        <w:t xml:space="preserve">  1 July 2026</w:t>
      </w:r>
    </w:p>
    <w:p w:rsidR="00000000" w:rsidDel="00000000" w:rsidP="00000000" w:rsidRDefault="00000000" w:rsidRPr="00000000" w14:paraId="0000001D">
      <w:pPr>
        <w:numPr>
          <w:ilvl w:val="0"/>
          <w:numId w:val="5"/>
        </w:numPr>
        <w:ind w:left="720" w:hanging="360"/>
        <w:rPr>
          <w:u w:val="none"/>
        </w:rPr>
      </w:pPr>
      <w:r w:rsidDel="00000000" w:rsidR="00000000" w:rsidRPr="00000000">
        <w:rPr>
          <w:b w:val="1"/>
          <w:bCs w:val="1"/>
          <w:rtl w:val="0"/>
        </w:rPr>
        <w:t xml:space="preserve">Group 3:</w:t>
      </w:r>
      <w:r w:rsidDel="00000000" w:rsidR="00000000" w:rsidRPr="00000000">
        <w:rPr>
          <w:rtl w:val="0"/>
        </w:rPr>
        <w:t xml:space="preserve">  1 July 2027</w:t>
      </w:r>
    </w:p>
    <w:p w:rsidR="00000000" w:rsidDel="00000000" w:rsidP="00000000" w:rsidRDefault="00000000" w:rsidRPr="00000000" w14:paraId="0000001E">
      <w:pPr>
        <w:numPr>
          <w:ilvl w:val="0"/>
          <w:numId w:val="5"/>
        </w:numPr>
        <w:ind w:left="720" w:hanging="360"/>
        <w:rPr>
          <w:u w:val="none"/>
        </w:rPr>
      </w:pPr>
      <w:r w:rsidDel="00000000" w:rsidR="00000000" w:rsidRPr="00000000">
        <w:rPr>
          <w:b w:val="1"/>
          <w:bCs w:val="1"/>
          <w:rtl w:val="0"/>
        </w:rPr>
        <w:t xml:space="preserve">Reporting Boundary &amp; Parent Entities:</w:t>
      </w:r>
      <w:r w:rsidDel="00000000" w:rsidR="00000000" w:rsidRPr="00000000">
        <w:rPr>
          <w:rtl w:val="0"/>
        </w:rPr>
        <w:t xml:space="preserve">  Section 292A(2) of the  </w:t>
      </w:r>
      <w:r w:rsidDel="00000000" w:rsidR="00000000" w:rsidRPr="00000000">
        <w:rPr>
          <w:i w:val="1"/>
          <w:iCs w:val="1"/>
          <w:rtl w:val="0"/>
        </w:rPr>
        <w:t xml:space="preserve">Corporations Act 2001</w:t>
      </w:r>
      <w:r w:rsidDel="00000000" w:rsidR="00000000" w:rsidRPr="00000000">
        <w:rPr>
          <w:rtl w:val="0"/>
        </w:rPr>
        <w:t xml:space="preserve">  provides that a parent entity preparing a sustainability report has the flexibility to prepare disclosures for either the consolidated group or the parent entity alone, departing from rigid mandatory consolidated-only disclosures under IFRS S1/S2.</w:t>
      </w:r>
    </w:p>
    <w:p w:rsidR="00000000" w:rsidDel="00000000" w:rsidP="00000000" w:rsidRDefault="00000000" w:rsidRPr="00000000" w14:paraId="0000001F">
      <w:pPr>
        <w:pStyle w:val="Heading4"/>
        <w:rPr/>
      </w:pPr>
      <w:bookmarkStart w:colFirst="0" w:colLast="0" w:name="_ule8p5abje7f" w:id="3"/>
      <w:bookmarkEnd w:id="3"/>
      <w:r w:rsidDel="00000000" w:rsidR="00000000" w:rsidRPr="00000000">
        <w:rPr>
          <w:rtl w:val="0"/>
        </w:rPr>
        <w:t xml:space="preserve">Section 2: Short-Answer Questions &amp; Model Answers</w:t>
      </w:r>
    </w:p>
    <w:p w:rsidR="00000000" w:rsidDel="00000000" w:rsidP="00000000" w:rsidRDefault="00000000" w:rsidRPr="00000000" w14:paraId="00000020">
      <w:pPr>
        <w:pStyle w:val="Heading5"/>
        <w:rPr/>
      </w:pPr>
      <w:bookmarkStart w:colFirst="0" w:colLast="0" w:name="_9jcl207q56a2" w:id="4"/>
      <w:bookmarkEnd w:id="4"/>
      <w:r w:rsidDel="00000000" w:rsidR="00000000" w:rsidRPr="00000000">
        <w:rPr>
          <w:rtl w:val="0"/>
        </w:rPr>
        <w:t xml:space="preserve">Question 1: Core Disclosure Pillars</w:t>
      </w:r>
    </w:p>
    <w:p w:rsidR="00000000" w:rsidDel="00000000" w:rsidP="00000000" w:rsidRDefault="00000000" w:rsidRPr="00000000" w14:paraId="00000021">
      <w:pPr>
        <w:rPr/>
      </w:pPr>
      <w:r w:rsidDel="00000000" w:rsidR="00000000" w:rsidRPr="00000000">
        <w:rPr>
          <w:b w:val="1"/>
          <w:bCs w:val="1"/>
          <w:rtl w:val="0"/>
        </w:rPr>
        <w:t xml:space="preserve">Question:</w:t>
      </w:r>
      <w:r w:rsidDel="00000000" w:rsidR="00000000" w:rsidRPr="00000000">
        <w:rPr>
          <w:rtl w:val="0"/>
        </w:rPr>
        <w:t xml:space="preserve">  What are the four core content disclosure areas mandated by AASB S2, and what is the specific objective of each?</w:t>
      </w:r>
      <w:r w:rsidDel="00000000" w:rsidR="00000000" w:rsidRPr="00000000">
        <w:rPr>
          <w:b w:val="1"/>
          <w:bCs w:val="1"/>
          <w:rtl w:val="0"/>
        </w:rPr>
        <w:t xml:space="preserve">Model Answer:</w:t>
      </w:r>
      <w:r w:rsidDel="00000000" w:rsidR="00000000" w:rsidRPr="00000000">
        <w:rPr>
          <w:rtl w:val="0"/>
        </w:rPr>
        <w:t xml:space="preserve">  The four core disclosure pillars under AASB S2 are:</w:t>
      </w:r>
    </w:p>
    <w:p w:rsidR="00000000" w:rsidDel="00000000" w:rsidP="00000000" w:rsidRDefault="00000000" w:rsidRPr="00000000" w14:paraId="00000022">
      <w:pPr>
        <w:numPr>
          <w:ilvl w:val="0"/>
          <w:numId w:val="4"/>
        </w:numPr>
        <w:ind w:left="720" w:hanging="360"/>
        <w:rPr>
          <w:u w:val="none"/>
        </w:rPr>
      </w:pPr>
      <w:r w:rsidDel="00000000" w:rsidR="00000000" w:rsidRPr="00000000">
        <w:rPr>
          <w:b w:val="1"/>
          <w:bCs w:val="1"/>
          <w:rtl w:val="0"/>
        </w:rPr>
        <w:t xml:space="preserve">Governance:</w:t>
      </w:r>
      <w:r w:rsidDel="00000000" w:rsidR="00000000" w:rsidRPr="00000000">
        <w:rPr>
          <w:rtl w:val="0"/>
        </w:rPr>
        <w:t xml:space="preserve">  To enable users to understand the governance processes, controls, and procedures used to monitor, manage, and oversee climate-related risks and opportunities  </w:t>
      </w:r>
      <w:r w:rsidDel="00000000" w:rsidR="00000000" w:rsidRPr="00000000">
        <w:rPr>
          <w:i w:val="1"/>
          <w:iCs w:val="1"/>
          <w:rtl w:val="0"/>
        </w:rPr>
        <w:t xml:space="preserve">(AASB S2, Paragraph 5)</w:t>
      </w:r>
      <w:r w:rsidDel="00000000" w:rsidR="00000000" w:rsidRPr="00000000">
        <w:rPr>
          <w:rtl w:val="0"/>
        </w:rPr>
        <w:t xml:space="preserve"> .</w:t>
      </w:r>
    </w:p>
    <w:p w:rsidR="00000000" w:rsidDel="00000000" w:rsidP="00000000" w:rsidRDefault="00000000" w:rsidRPr="00000000" w14:paraId="00000023">
      <w:pPr>
        <w:numPr>
          <w:ilvl w:val="0"/>
          <w:numId w:val="4"/>
        </w:numPr>
        <w:ind w:left="720" w:hanging="360"/>
        <w:rPr>
          <w:u w:val="none"/>
        </w:rPr>
      </w:pPr>
      <w:r w:rsidDel="00000000" w:rsidR="00000000" w:rsidRPr="00000000">
        <w:rPr>
          <w:b w:val="1"/>
          <w:bCs w:val="1"/>
          <w:rtl w:val="0"/>
        </w:rPr>
        <w:t xml:space="preserve">Strategy:</w:t>
      </w:r>
      <w:r w:rsidDel="00000000" w:rsidR="00000000" w:rsidRPr="00000000">
        <w:rPr>
          <w:rtl w:val="0"/>
        </w:rPr>
        <w:t xml:space="preserve">  To enable users to understand an entity’s strategy for managing climate-related risks and opportunities, including its business model, transition plans, climate resilience (via scenario analysis), and current/anticipated financial effects  </w:t>
      </w:r>
      <w:r w:rsidDel="00000000" w:rsidR="00000000" w:rsidRPr="00000000">
        <w:rPr>
          <w:i w:val="1"/>
          <w:iCs w:val="1"/>
          <w:rtl w:val="0"/>
        </w:rPr>
        <w:t xml:space="preserve">(AASB S2, Paragraph 8)</w:t>
      </w:r>
      <w:r w:rsidDel="00000000" w:rsidR="00000000" w:rsidRPr="00000000">
        <w:rPr>
          <w:rtl w:val="0"/>
        </w:rPr>
        <w:t xml:space="preserve"> .</w:t>
      </w:r>
    </w:p>
    <w:p w:rsidR="00000000" w:rsidDel="00000000" w:rsidP="00000000" w:rsidRDefault="00000000" w:rsidRPr="00000000" w14:paraId="00000024">
      <w:pPr>
        <w:numPr>
          <w:ilvl w:val="0"/>
          <w:numId w:val="4"/>
        </w:numPr>
        <w:ind w:left="720" w:hanging="360"/>
        <w:rPr>
          <w:u w:val="none"/>
        </w:rPr>
      </w:pPr>
      <w:r w:rsidDel="00000000" w:rsidR="00000000" w:rsidRPr="00000000">
        <w:rPr>
          <w:b w:val="1"/>
          <w:bCs w:val="1"/>
          <w:rtl w:val="0"/>
        </w:rPr>
        <w:t xml:space="preserve">Risk Management:</w:t>
      </w:r>
      <w:r w:rsidDel="00000000" w:rsidR="00000000" w:rsidRPr="00000000">
        <w:rPr>
          <w:rtl w:val="0"/>
        </w:rPr>
        <w:t xml:space="preserve">  To enable users to understand the processes used to identify, assess, prioritise, and monitor climate-related risks and opportunities, including how these processes integrate into the overall risk management system  </w:t>
      </w:r>
      <w:r w:rsidDel="00000000" w:rsidR="00000000" w:rsidRPr="00000000">
        <w:rPr>
          <w:i w:val="1"/>
          <w:iCs w:val="1"/>
          <w:rtl w:val="0"/>
        </w:rPr>
        <w:t xml:space="preserve">(AASB S2, Paragraph 24)</w:t>
      </w:r>
      <w:r w:rsidDel="00000000" w:rsidR="00000000" w:rsidRPr="00000000">
        <w:rPr>
          <w:rtl w:val="0"/>
        </w:rPr>
        <w:t xml:space="preserve"> .</w:t>
      </w:r>
    </w:p>
    <w:p w:rsidR="00000000" w:rsidDel="00000000" w:rsidP="00000000" w:rsidRDefault="00000000" w:rsidRPr="00000000" w14:paraId="00000025">
      <w:pPr>
        <w:numPr>
          <w:ilvl w:val="0"/>
          <w:numId w:val="4"/>
        </w:numPr>
        <w:ind w:left="720" w:hanging="360"/>
        <w:rPr>
          <w:u w:val="none"/>
        </w:rPr>
      </w:pPr>
      <w:r w:rsidDel="00000000" w:rsidR="00000000" w:rsidRPr="00000000">
        <w:rPr>
          <w:b w:val="1"/>
          <w:bCs w:val="1"/>
          <w:rtl w:val="0"/>
        </w:rPr>
        <w:t xml:space="preserve">Metrics and Targets:</w:t>
      </w:r>
      <w:r w:rsidDel="00000000" w:rsidR="00000000" w:rsidRPr="00000000">
        <w:rPr>
          <w:rtl w:val="0"/>
        </w:rPr>
        <w:t xml:space="preserve">  To enable users to understand an entity’s performance in relation to its climate-related risks and opportunities, including progress towards any climate-related targets set by the entity or required by law  </w:t>
      </w:r>
      <w:r w:rsidDel="00000000" w:rsidR="00000000" w:rsidRPr="00000000">
        <w:rPr>
          <w:i w:val="1"/>
          <w:iCs w:val="1"/>
          <w:rtl w:val="0"/>
        </w:rPr>
        <w:t xml:space="preserve">(AASB S2, Paragraph 27)</w:t>
      </w:r>
      <w:r w:rsidDel="00000000" w:rsidR="00000000" w:rsidRPr="00000000">
        <w:rPr>
          <w:rtl w:val="0"/>
        </w:rPr>
        <w:t xml:space="preserve"> .</w:t>
      </w:r>
    </w:p>
    <w:p w:rsidR="00000000" w:rsidDel="00000000" w:rsidP="00000000" w:rsidRDefault="00000000" w:rsidRPr="00000000" w14:paraId="00000026">
      <w:pPr>
        <w:pStyle w:val="Heading5"/>
        <w:rPr/>
      </w:pPr>
      <w:bookmarkStart w:colFirst="0" w:colLast="0" w:name="_pgna6axpzteu" w:id="5"/>
      <w:bookmarkEnd w:id="5"/>
      <w:r w:rsidDel="00000000" w:rsidR="00000000" w:rsidRPr="00000000">
        <w:rPr>
          <w:rtl w:val="0"/>
        </w:rPr>
        <w:t xml:space="preserve">Question 2: Roles of AASB, ASIC, and Treasury</w:t>
      </w:r>
    </w:p>
    <w:p w:rsidR="00000000" w:rsidDel="00000000" w:rsidP="00000000" w:rsidRDefault="00000000" w:rsidRPr="00000000" w14:paraId="00000027">
      <w:pPr>
        <w:rPr>
          <w:b w:val="1"/>
          <w:bCs w:val="1"/>
        </w:rPr>
      </w:pPr>
      <w:r w:rsidDel="00000000" w:rsidR="00000000" w:rsidRPr="00000000">
        <w:rPr>
          <w:b w:val="1"/>
          <w:bCs w:val="1"/>
          <w:rtl w:val="0"/>
        </w:rPr>
        <w:t xml:space="preserve">Question:</w:t>
      </w:r>
      <w:r w:rsidDel="00000000" w:rsidR="00000000" w:rsidRPr="00000000">
        <w:rPr>
          <w:rtl w:val="0"/>
        </w:rPr>
        <w:t xml:space="preserve">  Explain the distinct roles played by the Australian Accounting Standards Board (AASB), the Australian Securities and Investments Commission (ASIC), and the Department of the Treasury in the Australian mandatory climate reporting regime.</w:t>
      </w:r>
      <w:r w:rsidDel="00000000" w:rsidR="00000000" w:rsidRPr="00000000">
        <w:rPr>
          <w:b w:val="1"/>
          <w:bCs w:val="1"/>
          <w:rtl w:val="0"/>
        </w:rPr>
        <w:t xml:space="preserve">Model Answer:</w:t>
      </w:r>
    </w:p>
    <w:p w:rsidR="00000000" w:rsidDel="00000000" w:rsidP="00000000" w:rsidRDefault="00000000" w:rsidRPr="00000000" w14:paraId="00000028">
      <w:pPr>
        <w:numPr>
          <w:ilvl w:val="0"/>
          <w:numId w:val="2"/>
        </w:numPr>
        <w:ind w:left="720" w:hanging="360"/>
        <w:rPr>
          <w:u w:val="none"/>
        </w:rPr>
      </w:pPr>
      <w:r w:rsidDel="00000000" w:rsidR="00000000" w:rsidRPr="00000000">
        <w:rPr>
          <w:b w:val="1"/>
          <w:bCs w:val="1"/>
          <w:rtl w:val="0"/>
        </w:rPr>
        <w:t xml:space="preserve">AASB (Australian Accounting Standards Board):</w:t>
      </w:r>
      <w:r w:rsidDel="00000000" w:rsidR="00000000" w:rsidRPr="00000000">
        <w:rPr>
          <w:rtl w:val="0"/>
        </w:rPr>
        <w:t xml:space="preserve">  An Australian Government entity established under the  </w:t>
      </w:r>
      <w:r w:rsidDel="00000000" w:rsidR="00000000" w:rsidRPr="00000000">
        <w:rPr>
          <w:i w:val="1"/>
          <w:iCs w:val="1"/>
          <w:rtl w:val="0"/>
        </w:rPr>
        <w:t xml:space="preserve">ASIC Act 2001</w:t>
      </w:r>
      <w:r w:rsidDel="00000000" w:rsidR="00000000" w:rsidRPr="00000000">
        <w:rPr>
          <w:rtl w:val="0"/>
        </w:rPr>
        <w:t xml:space="preserve"> . It is responsible for developing, issuing, and maintaining Australian Sustainability Reporting Standards (such as AASB S2) under section 336A of the  </w:t>
      </w:r>
      <w:r w:rsidDel="00000000" w:rsidR="00000000" w:rsidRPr="00000000">
        <w:rPr>
          <w:i w:val="1"/>
          <w:iCs w:val="1"/>
          <w:rtl w:val="0"/>
        </w:rPr>
        <w:t xml:space="preserve">Corporations Act 2001</w:t>
      </w:r>
      <w:r w:rsidDel="00000000" w:rsidR="00000000" w:rsidRPr="00000000">
        <w:rPr>
          <w:rtl w:val="0"/>
        </w:rPr>
        <w:t xml:space="preserve">   </w:t>
      </w:r>
      <w:r w:rsidDel="00000000" w:rsidR="00000000" w:rsidRPr="00000000">
        <w:rPr>
          <w:i w:val="1"/>
          <w:iCs w:val="1"/>
          <w:rtl w:val="0"/>
        </w:rPr>
        <w:t xml:space="preserve">(AASB S2, Preface &amp; Title Page)</w:t>
      </w:r>
      <w:r w:rsidDel="00000000" w:rsidR="00000000" w:rsidRPr="00000000">
        <w:rPr>
          <w:rtl w:val="0"/>
        </w:rPr>
        <w:t xml:space="preserve"> .</w:t>
      </w:r>
    </w:p>
    <w:p w:rsidR="00000000" w:rsidDel="00000000" w:rsidP="00000000" w:rsidRDefault="00000000" w:rsidRPr="00000000" w14:paraId="00000029">
      <w:pPr>
        <w:numPr>
          <w:ilvl w:val="0"/>
          <w:numId w:val="2"/>
        </w:numPr>
        <w:ind w:left="720" w:hanging="360"/>
        <w:rPr>
          <w:u w:val="none"/>
        </w:rPr>
      </w:pPr>
      <w:r w:rsidDel="00000000" w:rsidR="00000000" w:rsidRPr="00000000">
        <w:rPr>
          <w:b w:val="1"/>
          <w:bCs w:val="1"/>
          <w:rtl w:val="0"/>
        </w:rPr>
        <w:t xml:space="preserve">Treasury (Department of the Treasury):</w:t>
      </w:r>
      <w:r w:rsidDel="00000000" w:rsidR="00000000" w:rsidRPr="00000000">
        <w:rPr>
          <w:rtl w:val="0"/>
        </w:rPr>
        <w:t xml:space="preserve">  Develops statutory policy and drafts legislation (e.g., the  </w:t>
      </w:r>
      <w:r w:rsidDel="00000000" w:rsidR="00000000" w:rsidRPr="00000000">
        <w:rPr>
          <w:i w:val="1"/>
          <w:iCs w:val="1"/>
          <w:rtl w:val="0"/>
        </w:rPr>
        <w:t xml:space="preserve">Treasury Laws Amendment (Financial Market Infrastructure and Other Measures) Act 2024</w:t>
      </w:r>
      <w:r w:rsidDel="00000000" w:rsidR="00000000" w:rsidRPr="00000000">
        <w:rPr>
          <w:rtl w:val="0"/>
        </w:rPr>
        <w:t xml:space="preserve"> ) to amend the  </w:t>
      </w:r>
      <w:r w:rsidDel="00000000" w:rsidR="00000000" w:rsidRPr="00000000">
        <w:rPr>
          <w:i w:val="1"/>
          <w:iCs w:val="1"/>
          <w:rtl w:val="0"/>
        </w:rPr>
        <w:t xml:space="preserve">Corporations Act 2001</w:t>
      </w:r>
      <w:r w:rsidDel="00000000" w:rsidR="00000000" w:rsidRPr="00000000">
        <w:rPr>
          <w:rtl w:val="0"/>
        </w:rPr>
        <w:t xml:space="preserve"> , establishing the legal mandate, reporting thresholds, and implementation dates  </w:t>
      </w:r>
      <w:r w:rsidDel="00000000" w:rsidR="00000000" w:rsidRPr="00000000">
        <w:rPr>
          <w:i w:val="1"/>
          <w:iCs w:val="1"/>
          <w:rtl w:val="0"/>
        </w:rPr>
        <w:t xml:space="preserve">(AASB S2, Preface &amp; Comparison with IFRS S2)</w:t>
      </w:r>
      <w:r w:rsidDel="00000000" w:rsidR="00000000" w:rsidRPr="00000000">
        <w:rPr>
          <w:rtl w:val="0"/>
        </w:rPr>
        <w:t xml:space="preserve"> .</w:t>
      </w:r>
    </w:p>
    <w:p w:rsidR="00000000" w:rsidDel="00000000" w:rsidP="00000000" w:rsidRDefault="00000000" w:rsidRPr="00000000" w14:paraId="0000002A">
      <w:pPr>
        <w:numPr>
          <w:ilvl w:val="0"/>
          <w:numId w:val="2"/>
        </w:numPr>
        <w:ind w:left="720" w:hanging="360"/>
        <w:rPr>
          <w:u w:val="none"/>
        </w:rPr>
      </w:pPr>
      <w:r w:rsidDel="00000000" w:rsidR="00000000" w:rsidRPr="00000000">
        <w:rPr>
          <w:b w:val="1"/>
          <w:bCs w:val="1"/>
          <w:rtl w:val="0"/>
        </w:rPr>
        <w:t xml:space="preserve">ASIC (Australian Securities and Investments Commission):</w:t>
      </w:r>
      <w:r w:rsidDel="00000000" w:rsidR="00000000" w:rsidRPr="00000000">
        <w:rPr>
          <w:rtl w:val="0"/>
        </w:rPr>
        <w:t xml:space="preserve">  Serves as the primary corporate regulatory and enforcement authority. While the AASB operates under the  </w:t>
      </w:r>
      <w:r w:rsidDel="00000000" w:rsidR="00000000" w:rsidRPr="00000000">
        <w:rPr>
          <w:i w:val="1"/>
          <w:iCs w:val="1"/>
          <w:rtl w:val="0"/>
        </w:rPr>
        <w:t xml:space="preserve">ASIC Act 2001</w:t>
      </w:r>
      <w:r w:rsidDel="00000000" w:rsidR="00000000" w:rsidRPr="00000000">
        <w:rPr>
          <w:rtl w:val="0"/>
        </w:rPr>
        <w:t xml:space="preserve"> , ASIC oversees compliance with corporate reporting obligations under the  </w:t>
      </w:r>
      <w:r w:rsidDel="00000000" w:rsidR="00000000" w:rsidRPr="00000000">
        <w:rPr>
          <w:i w:val="1"/>
          <w:iCs w:val="1"/>
          <w:rtl w:val="0"/>
        </w:rPr>
        <w:t xml:space="preserve">Corporations Act 2001</w:t>
      </w:r>
      <w:r w:rsidDel="00000000" w:rsidR="00000000" w:rsidRPr="00000000">
        <w:rPr>
          <w:rtl w:val="0"/>
        </w:rPr>
        <w:t xml:space="preserve"> .</w:t>
      </w:r>
      <w:r w:rsidDel="00000000" w:rsidR="00000000" w:rsidRPr="00000000">
        <w:rPr>
          <w:b w:val="1"/>
          <w:bCs w:val="1"/>
          <w:rtl w:val="0"/>
        </w:rPr>
        <w:t xml:space="preserve">Human Verification Required:</w:t>
      </w:r>
      <w:r w:rsidDel="00000000" w:rsidR="00000000" w:rsidRPr="00000000">
        <w:rPr>
          <w:rtl w:val="0"/>
        </w:rPr>
        <w:t xml:space="preserve">  Specific statutory enforcement powers, relief mechanisms, and penalty provisions administered by ASIC are governed by the broader  </w:t>
      </w:r>
      <w:r w:rsidDel="00000000" w:rsidR="00000000" w:rsidRPr="00000000">
        <w:rPr>
          <w:i w:val="1"/>
          <w:iCs w:val="1"/>
          <w:rtl w:val="0"/>
        </w:rPr>
        <w:t xml:space="preserve">Corporations Act 2001</w:t>
      </w:r>
      <w:r w:rsidDel="00000000" w:rsidR="00000000" w:rsidRPr="00000000">
        <w:rPr>
          <w:rtl w:val="0"/>
        </w:rPr>
        <w:t xml:space="preserve">  and  </w:t>
      </w:r>
      <w:r w:rsidDel="00000000" w:rsidR="00000000" w:rsidRPr="00000000">
        <w:rPr>
          <w:i w:val="1"/>
          <w:iCs w:val="1"/>
          <w:rtl w:val="0"/>
        </w:rPr>
        <w:t xml:space="preserve">ASIC Act 2001</w:t>
      </w:r>
      <w:r w:rsidDel="00000000" w:rsidR="00000000" w:rsidRPr="00000000">
        <w:rPr>
          <w:rtl w:val="0"/>
        </w:rPr>
        <w:t xml:space="preserve">  provisions outside the explicit text of standard AASB S2, and require direct legal verification.</w:t>
      </w:r>
    </w:p>
    <w:p w:rsidR="00000000" w:rsidDel="00000000" w:rsidP="00000000" w:rsidRDefault="00000000" w:rsidRPr="00000000" w14:paraId="0000002B">
      <w:pPr>
        <w:pStyle w:val="Heading5"/>
        <w:rPr/>
      </w:pPr>
      <w:bookmarkStart w:colFirst="0" w:colLast="0" w:name="_84m5t72zb2l9" w:id="6"/>
      <w:bookmarkEnd w:id="6"/>
      <w:r w:rsidDel="00000000" w:rsidR="00000000" w:rsidRPr="00000000">
        <w:rPr>
          <w:rtl w:val="0"/>
        </w:rPr>
        <w:t xml:space="preserve">Question 3: Implementation Dates and Phased Cohorts</w:t>
      </w:r>
    </w:p>
    <w:p w:rsidR="00000000" w:rsidDel="00000000" w:rsidP="00000000" w:rsidRDefault="00000000" w:rsidRPr="00000000" w14:paraId="0000002C">
      <w:pPr>
        <w:rPr/>
      </w:pPr>
      <w:r w:rsidDel="00000000" w:rsidR="00000000" w:rsidRPr="00000000">
        <w:rPr>
          <w:b w:val="1"/>
          <w:bCs w:val="1"/>
          <w:rtl w:val="0"/>
        </w:rPr>
        <w:t xml:space="preserve">Question:</w:t>
      </w:r>
      <w:r w:rsidDel="00000000" w:rsidR="00000000" w:rsidRPr="00000000">
        <w:rPr>
          <w:rtl w:val="0"/>
        </w:rPr>
        <w:t xml:space="preserve">  State the three statutory application dates specified under Australian law for mandatory climate reporting, and explain how entities are phased into the regime.</w:t>
      </w:r>
      <w:r w:rsidDel="00000000" w:rsidR="00000000" w:rsidRPr="00000000">
        <w:rPr>
          <w:b w:val="1"/>
          <w:bCs w:val="1"/>
          <w:rtl w:val="0"/>
        </w:rPr>
        <w:t xml:space="preserve">Model Answer:</w:t>
      </w:r>
      <w:r w:rsidDel="00000000" w:rsidR="00000000" w:rsidRPr="00000000">
        <w:rPr>
          <w:rtl w:val="0"/>
        </w:rPr>
        <w:t xml:space="preserve">  The  </w:t>
      </w:r>
      <w:r w:rsidDel="00000000" w:rsidR="00000000" w:rsidRPr="00000000">
        <w:rPr>
          <w:i w:val="1"/>
          <w:iCs w:val="1"/>
          <w:rtl w:val="0"/>
        </w:rPr>
        <w:t xml:space="preserve">Corporations Act 2001</w:t>
      </w:r>
      <w:r w:rsidDel="00000000" w:rsidR="00000000" w:rsidRPr="00000000">
        <w:rPr>
          <w:rtl w:val="0"/>
        </w:rPr>
        <w:t xml:space="preserve">  establishes three application dates for annual reporting periods beginning on or after:</w:t>
      </w:r>
    </w:p>
    <w:p w:rsidR="00000000" w:rsidDel="00000000" w:rsidP="00000000" w:rsidRDefault="00000000" w:rsidRPr="00000000" w14:paraId="0000002D">
      <w:pPr>
        <w:numPr>
          <w:ilvl w:val="0"/>
          <w:numId w:val="9"/>
        </w:numPr>
        <w:ind w:left="720" w:hanging="360"/>
        <w:rPr>
          <w:u w:val="none"/>
        </w:rPr>
      </w:pPr>
      <w:r w:rsidDel="00000000" w:rsidR="00000000" w:rsidRPr="00000000">
        <w:rPr>
          <w:b w:val="1"/>
          <w:bCs w:val="1"/>
          <w:rtl w:val="0"/>
        </w:rPr>
        <w:t xml:space="preserve">1 January 2025</w:t>
      </w:r>
      <w:r w:rsidDel="00000000" w:rsidR="00000000" w:rsidRPr="00000000">
        <w:rPr>
          <w:rtl w:val="0"/>
        </w:rPr>
        <w:t xml:space="preserve">  (Group 1 entities)</w:t>
      </w:r>
    </w:p>
    <w:p w:rsidR="00000000" w:rsidDel="00000000" w:rsidP="00000000" w:rsidRDefault="00000000" w:rsidRPr="00000000" w14:paraId="0000002E">
      <w:pPr>
        <w:numPr>
          <w:ilvl w:val="0"/>
          <w:numId w:val="9"/>
        </w:numPr>
        <w:ind w:left="720" w:hanging="360"/>
        <w:rPr>
          <w:u w:val="none"/>
        </w:rPr>
      </w:pPr>
      <w:r w:rsidDel="00000000" w:rsidR="00000000" w:rsidRPr="00000000">
        <w:rPr>
          <w:b w:val="1"/>
          <w:bCs w:val="1"/>
          <w:rtl w:val="0"/>
        </w:rPr>
        <w:t xml:space="preserve">1 July 2026</w:t>
      </w:r>
      <w:r w:rsidDel="00000000" w:rsidR="00000000" w:rsidRPr="00000000">
        <w:rPr>
          <w:rtl w:val="0"/>
        </w:rPr>
        <w:t xml:space="preserve">  (Group 2 entities)</w:t>
      </w:r>
    </w:p>
    <w:p w:rsidR="00000000" w:rsidDel="00000000" w:rsidP="00000000" w:rsidRDefault="00000000" w:rsidRPr="00000000" w14:paraId="0000002F">
      <w:pPr>
        <w:numPr>
          <w:ilvl w:val="0"/>
          <w:numId w:val="9"/>
        </w:numPr>
        <w:ind w:left="720" w:hanging="360"/>
        <w:rPr>
          <w:u w:val="none"/>
        </w:rPr>
      </w:pPr>
      <w:r w:rsidDel="00000000" w:rsidR="00000000" w:rsidRPr="00000000">
        <w:rPr>
          <w:b w:val="1"/>
          <w:bCs w:val="1"/>
          <w:rtl w:val="0"/>
        </w:rPr>
        <w:t xml:space="preserve">1 July 2027</w:t>
      </w:r>
      <w:r w:rsidDel="00000000" w:rsidR="00000000" w:rsidRPr="00000000">
        <w:rPr>
          <w:rtl w:val="0"/>
        </w:rPr>
        <w:t xml:space="preserve">  (Group 3 entities)</w:t>
      </w:r>
      <w:r w:rsidDel="00000000" w:rsidR="00000000" w:rsidRPr="00000000">
        <w:rPr>
          <w:i w:val="1"/>
          <w:iCs w:val="1"/>
          <w:rtl w:val="0"/>
        </w:rPr>
        <w:t xml:space="preserve">(AASB S2, Preface &amp; Main Features)</w:t>
      </w:r>
      <w:r w:rsidDel="00000000" w:rsidR="00000000" w:rsidRPr="00000000">
        <w:rPr>
          <w:rtl w:val="0"/>
        </w:rPr>
        <w:t xml:space="preserve">Entities are assigned to these groups based on corporate size criteria defined in the  </w:t>
      </w:r>
      <w:r w:rsidDel="00000000" w:rsidR="00000000" w:rsidRPr="00000000">
        <w:rPr>
          <w:i w:val="1"/>
          <w:iCs w:val="1"/>
          <w:rtl w:val="0"/>
        </w:rPr>
        <w:t xml:space="preserve">Corporations Act 2001</w:t>
      </w:r>
      <w:r w:rsidDel="00000000" w:rsidR="00000000" w:rsidRPr="00000000">
        <w:rPr>
          <w:rtl w:val="0"/>
        </w:rPr>
        <w:t xml:space="preserve"> , applying earlier compliance requirements to the largest market participants before progressively extending to smaller entities.</w:t>
      </w:r>
    </w:p>
    <w:p w:rsidR="00000000" w:rsidDel="00000000" w:rsidP="00000000" w:rsidRDefault="00000000" w:rsidRPr="00000000" w14:paraId="00000030">
      <w:pPr>
        <w:pStyle w:val="Heading5"/>
        <w:rPr/>
      </w:pPr>
      <w:bookmarkStart w:colFirst="0" w:colLast="0" w:name="_9kp884e8ldfk" w:id="7"/>
      <w:bookmarkEnd w:id="7"/>
      <w:r w:rsidDel="00000000" w:rsidR="00000000" w:rsidRPr="00000000">
        <w:rPr>
          <w:rtl w:val="0"/>
        </w:rPr>
        <w:t xml:space="preserve">Question 4: Two-of-Three Corporate Size Test</w:t>
      </w:r>
    </w:p>
    <w:p w:rsidR="00000000" w:rsidDel="00000000" w:rsidP="00000000" w:rsidRDefault="00000000" w:rsidRPr="00000000" w14:paraId="00000031">
      <w:pPr>
        <w:rPr/>
      </w:pPr>
      <w:r w:rsidDel="00000000" w:rsidR="00000000" w:rsidRPr="00000000">
        <w:rPr>
          <w:b w:val="1"/>
          <w:bCs w:val="1"/>
          <w:rtl w:val="0"/>
        </w:rPr>
        <w:t xml:space="preserve">Question:</w:t>
      </w:r>
      <w:r w:rsidDel="00000000" w:rsidR="00000000" w:rsidRPr="00000000">
        <w:rPr>
          <w:rtl w:val="0"/>
        </w:rPr>
        <w:t xml:space="preserve">  Explain the legal mechanism used in Australia to classify entities into reporting groups, and identify which specific aspects require human verification outside the AASB S2 standard text.</w:t>
      </w:r>
      <w:r w:rsidDel="00000000" w:rsidR="00000000" w:rsidRPr="00000000">
        <w:rPr>
          <w:b w:val="1"/>
          <w:bCs w:val="1"/>
          <w:rtl w:val="0"/>
        </w:rPr>
        <w:t xml:space="preserve">Model Answer:</w:t>
      </w:r>
      <w:r w:rsidDel="00000000" w:rsidR="00000000" w:rsidRPr="00000000">
        <w:rPr>
          <w:rtl w:val="0"/>
        </w:rPr>
        <w:t xml:space="preserve">  The classification of commercial entities into Group 1, Group 2, or Group 3 is determined via a  </w:t>
      </w:r>
      <w:r w:rsidDel="00000000" w:rsidR="00000000" w:rsidRPr="00000000">
        <w:rPr>
          <w:b w:val="1"/>
          <w:bCs w:val="1"/>
          <w:rtl w:val="0"/>
        </w:rPr>
        <w:t xml:space="preserve">"two-of-three size test"</w:t>
      </w:r>
      <w:r w:rsidDel="00000000" w:rsidR="00000000" w:rsidRPr="00000000">
        <w:rPr>
          <w:rtl w:val="0"/>
        </w:rPr>
        <w:t xml:space="preserve">  established under the  </w:t>
      </w:r>
      <w:r w:rsidDel="00000000" w:rsidR="00000000" w:rsidRPr="00000000">
        <w:rPr>
          <w:i w:val="1"/>
          <w:iCs w:val="1"/>
          <w:rtl w:val="0"/>
        </w:rPr>
        <w:t xml:space="preserve">Corporations Act 2001</w:t>
      </w:r>
      <w:r w:rsidDel="00000000" w:rsidR="00000000" w:rsidRPr="00000000">
        <w:rPr>
          <w:rtl w:val="0"/>
        </w:rPr>
        <w:t xml:space="preserve">  (as amended by the  </w:t>
      </w:r>
      <w:r w:rsidDel="00000000" w:rsidR="00000000" w:rsidRPr="00000000">
        <w:rPr>
          <w:i w:val="1"/>
          <w:iCs w:val="1"/>
          <w:rtl w:val="0"/>
        </w:rPr>
        <w:t xml:space="preserve">Treasury Laws Amendment (Financial Market Infrastructure and Other Measures) Act 2024</w:t>
      </w:r>
      <w:r w:rsidDel="00000000" w:rsidR="00000000" w:rsidRPr="00000000">
        <w:rPr>
          <w:rtl w:val="0"/>
        </w:rPr>
        <w:t xml:space="preserve"> ). Under this test, an entity is evaluated against three financial metrics:</w:t>
      </w:r>
    </w:p>
    <w:p w:rsidR="00000000" w:rsidDel="00000000" w:rsidP="00000000" w:rsidRDefault="00000000" w:rsidRPr="00000000" w14:paraId="00000032">
      <w:pPr>
        <w:numPr>
          <w:ilvl w:val="0"/>
          <w:numId w:val="11"/>
        </w:numPr>
        <w:ind w:left="720" w:hanging="360"/>
        <w:rPr>
          <w:u w:val="none"/>
        </w:rPr>
      </w:pPr>
      <w:r w:rsidDel="00000000" w:rsidR="00000000" w:rsidRPr="00000000">
        <w:rPr>
          <w:rtl w:val="0"/>
        </w:rPr>
        <w:t xml:space="preserve">Consolidated gross assets;</w:t>
      </w:r>
    </w:p>
    <w:p w:rsidR="00000000" w:rsidDel="00000000" w:rsidP="00000000" w:rsidRDefault="00000000" w:rsidRPr="00000000" w14:paraId="00000033">
      <w:pPr>
        <w:numPr>
          <w:ilvl w:val="0"/>
          <w:numId w:val="11"/>
        </w:numPr>
        <w:ind w:left="720" w:hanging="360"/>
        <w:rPr>
          <w:u w:val="none"/>
        </w:rPr>
      </w:pPr>
      <w:r w:rsidDel="00000000" w:rsidR="00000000" w:rsidRPr="00000000">
        <w:rPr>
          <w:rtl w:val="0"/>
        </w:rPr>
        <w:t xml:space="preserve">Consolidated revenue; and</w:t>
      </w:r>
    </w:p>
    <w:p w:rsidR="00000000" w:rsidDel="00000000" w:rsidP="00000000" w:rsidRDefault="00000000" w:rsidRPr="00000000" w14:paraId="00000034">
      <w:pPr>
        <w:numPr>
          <w:ilvl w:val="0"/>
          <w:numId w:val="11"/>
        </w:numPr>
        <w:ind w:left="720" w:hanging="360"/>
        <w:rPr>
          <w:u w:val="none"/>
        </w:rPr>
      </w:pPr>
      <w:r w:rsidDel="00000000" w:rsidR="00000000" w:rsidRPr="00000000">
        <w:rPr>
          <w:rtl w:val="0"/>
        </w:rPr>
        <w:t xml:space="preserve">Number of employees.If an entity meets or exceeds at least two of the three established quantitative thresholds at the end of its financial year, it falls into the corresponding reporting tier.</w:t>
      </w:r>
      <w:r w:rsidDel="00000000" w:rsidR="00000000" w:rsidRPr="00000000">
        <w:rPr>
          <w:b w:val="1"/>
          <w:bCs w:val="1"/>
          <w:rtl w:val="0"/>
        </w:rPr>
        <w:t xml:space="preserve">Human Verification Required:</w:t>
      </w:r>
      <w:r w:rsidDel="00000000" w:rsidR="00000000" w:rsidRPr="00000000">
        <w:rPr>
          <w:rtl w:val="0"/>
        </w:rPr>
        <w:t xml:space="preserve">  The precise numerical thresholds (dollar amounts for gross assets and revenue, and exact employee headcounts) defining Group 1, Group 2, and Group 3 are established directly within the  </w:t>
      </w:r>
      <w:r w:rsidDel="00000000" w:rsidR="00000000" w:rsidRPr="00000000">
        <w:rPr>
          <w:i w:val="1"/>
          <w:iCs w:val="1"/>
          <w:rtl w:val="0"/>
        </w:rPr>
        <w:t xml:space="preserve">Corporations Act 2001</w:t>
      </w:r>
      <w:r w:rsidDel="00000000" w:rsidR="00000000" w:rsidRPr="00000000">
        <w:rPr>
          <w:rtl w:val="0"/>
        </w:rPr>
        <w:t xml:space="preserve">  legislative amendments and are  </w:t>
      </w:r>
      <w:r w:rsidDel="00000000" w:rsidR="00000000" w:rsidRPr="00000000">
        <w:rPr>
          <w:b w:val="1"/>
          <w:bCs w:val="1"/>
          <w:rtl w:val="0"/>
        </w:rPr>
        <w:t xml:space="preserve">not reprinted inside standard AASB S2</w:t>
      </w:r>
      <w:r w:rsidDel="00000000" w:rsidR="00000000" w:rsidRPr="00000000">
        <w:rPr>
          <w:rtl w:val="0"/>
        </w:rPr>
        <w:t xml:space="preserve"> . Students must verify these statutory metrics in the enacted legislation.</w:t>
      </w:r>
    </w:p>
    <w:p w:rsidR="00000000" w:rsidDel="00000000" w:rsidP="00000000" w:rsidRDefault="00000000" w:rsidRPr="00000000" w14:paraId="00000035">
      <w:pPr>
        <w:pStyle w:val="Heading5"/>
        <w:rPr/>
      </w:pPr>
      <w:bookmarkStart w:colFirst="0" w:colLast="0" w:name="_raptyf7q5dtp" w:id="8"/>
      <w:bookmarkEnd w:id="8"/>
      <w:r w:rsidDel="00000000" w:rsidR="00000000" w:rsidRPr="00000000">
        <w:rPr>
          <w:rtl w:val="0"/>
        </w:rPr>
        <w:t xml:space="preserve">Question 5: Relationship Between AASB S1 and AASB S2</w:t>
      </w:r>
    </w:p>
    <w:p w:rsidR="00000000" w:rsidDel="00000000" w:rsidP="00000000" w:rsidRDefault="00000000" w:rsidRPr="00000000" w14:paraId="00000036">
      <w:pPr>
        <w:rPr/>
      </w:pPr>
      <w:r w:rsidDel="00000000" w:rsidR="00000000" w:rsidRPr="00000000">
        <w:rPr>
          <w:b w:val="1"/>
          <w:bCs w:val="1"/>
          <w:rtl w:val="0"/>
        </w:rPr>
        <w:t xml:space="preserve">Question:</w:t>
      </w:r>
      <w:r w:rsidDel="00000000" w:rsidR="00000000" w:rsidRPr="00000000">
        <w:rPr>
          <w:rtl w:val="0"/>
        </w:rPr>
        <w:t xml:space="preserve">  How does the Australian framework approach general sustainability disclosures compared to the ISSB's international structure?</w:t>
      </w:r>
      <w:r w:rsidDel="00000000" w:rsidR="00000000" w:rsidRPr="00000000">
        <w:rPr>
          <w:b w:val="1"/>
          <w:bCs w:val="1"/>
          <w:rtl w:val="0"/>
        </w:rPr>
        <w:t xml:space="preserve">Model Answer:</w:t>
      </w:r>
      <w:r w:rsidDel="00000000" w:rsidR="00000000" w:rsidRPr="00000000">
        <w:rPr>
          <w:rtl w:val="0"/>
        </w:rPr>
        <w:t xml:space="preserve">  At the international level, IFRS S2 must be applied concurrently with IFRS S1 ( </w:t>
      </w:r>
      <w:r w:rsidDel="00000000" w:rsidR="00000000" w:rsidRPr="00000000">
        <w:rPr>
          <w:i w:val="1"/>
          <w:iCs w:val="1"/>
          <w:rtl w:val="0"/>
        </w:rPr>
        <w:t xml:space="preserve">General Requirements for Disclosure of Sustainability-related Financial Information</w:t>
      </w:r>
      <w:r w:rsidDel="00000000" w:rsidR="00000000" w:rsidRPr="00000000">
        <w:rPr>
          <w:rtl w:val="0"/>
        </w:rPr>
        <w:t xml:space="preserve"> ). In Australia,  </w:t>
      </w:r>
      <w:r w:rsidDel="00000000" w:rsidR="00000000" w:rsidRPr="00000000">
        <w:rPr>
          <w:b w:val="1"/>
          <w:bCs w:val="1"/>
          <w:rtl w:val="0"/>
        </w:rPr>
        <w:t xml:space="preserve">AASB S1 is a voluntary standard</w:t>
      </w:r>
      <w:r w:rsidDel="00000000" w:rsidR="00000000" w:rsidRPr="00000000">
        <w:rPr>
          <w:rtl w:val="0"/>
        </w:rPr>
        <w:t xml:space="preserve"> .To ensure entities applying AASB S2 are not forced to adopt AASB S1, the AASB incorporated all necessary general disclosure provisions (drawn from IFRS S1) directly into  </w:t>
      </w:r>
      <w:r w:rsidDel="00000000" w:rsidR="00000000" w:rsidRPr="00000000">
        <w:rPr>
          <w:b w:val="1"/>
          <w:bCs w:val="1"/>
          <w:rtl w:val="0"/>
        </w:rPr>
        <w:t xml:space="preserve">Appendix D of AASB S2</w:t>
      </w:r>
      <w:r w:rsidDel="00000000" w:rsidR="00000000" w:rsidRPr="00000000">
        <w:rPr>
          <w:rtl w:val="0"/>
        </w:rPr>
        <w:t xml:space="preserve"> . Consequently, AASB S2 functions as a standalone mandatory standard. An entity reporting under AASB S2 is not required to apply AASB S1 unless it voluntarily chooses to disclose broader sustainability-related risks beyond climate  </w:t>
      </w:r>
      <w:r w:rsidDel="00000000" w:rsidR="00000000" w:rsidRPr="00000000">
        <w:rPr>
          <w:i w:val="1"/>
          <w:iCs w:val="1"/>
          <w:rtl w:val="0"/>
        </w:rPr>
        <w:t xml:space="preserve">(AASB S2, Preface &amp; Paragraph Aus7.1)</w:t>
      </w:r>
      <w:r w:rsidDel="00000000" w:rsidR="00000000" w:rsidRPr="00000000">
        <w:rPr>
          <w:rtl w:val="0"/>
        </w:rPr>
        <w:t xml:space="preserve"> .</w:t>
      </w:r>
    </w:p>
    <w:p w:rsidR="00000000" w:rsidDel="00000000" w:rsidP="00000000" w:rsidRDefault="00000000" w:rsidRPr="00000000" w14:paraId="00000037">
      <w:pPr>
        <w:pStyle w:val="Heading5"/>
        <w:rPr/>
      </w:pPr>
      <w:bookmarkStart w:colFirst="0" w:colLast="0" w:name="_dwn9iwbivudo" w:id="9"/>
      <w:bookmarkEnd w:id="9"/>
      <w:r w:rsidDel="00000000" w:rsidR="00000000" w:rsidRPr="00000000">
        <w:rPr>
          <w:rtl w:val="0"/>
        </w:rPr>
        <w:t xml:space="preserve">Question 6: Classification of Greenhouse Gas Emissions</w:t>
      </w:r>
    </w:p>
    <w:p w:rsidR="00000000" w:rsidDel="00000000" w:rsidP="00000000" w:rsidRDefault="00000000" w:rsidRPr="00000000" w14:paraId="00000038">
      <w:pPr>
        <w:rPr>
          <w:b w:val="1"/>
          <w:bCs w:val="1"/>
        </w:rPr>
      </w:pPr>
      <w:r w:rsidDel="00000000" w:rsidR="00000000" w:rsidRPr="00000000">
        <w:rPr>
          <w:b w:val="1"/>
          <w:bCs w:val="1"/>
          <w:rtl w:val="0"/>
        </w:rPr>
        <w:t xml:space="preserve">Question:</w:t>
      </w:r>
      <w:r w:rsidDel="00000000" w:rsidR="00000000" w:rsidRPr="00000000">
        <w:rPr>
          <w:rtl w:val="0"/>
        </w:rPr>
        <w:t xml:space="preserve">  Define Scope 1, Scope 2, and Scope 3 greenhouse gas (GHG) emissions as specified in AASB S2.</w:t>
      </w:r>
      <w:r w:rsidDel="00000000" w:rsidR="00000000" w:rsidRPr="00000000">
        <w:rPr>
          <w:b w:val="1"/>
          <w:bCs w:val="1"/>
          <w:rtl w:val="0"/>
        </w:rPr>
        <w:t xml:space="preserve">Model Answer:</w:t>
      </w:r>
    </w:p>
    <w:p w:rsidR="00000000" w:rsidDel="00000000" w:rsidP="00000000" w:rsidRDefault="00000000" w:rsidRPr="00000000" w14:paraId="00000039">
      <w:pPr>
        <w:numPr>
          <w:ilvl w:val="0"/>
          <w:numId w:val="8"/>
        </w:numPr>
        <w:ind w:left="720" w:hanging="360"/>
        <w:rPr>
          <w:u w:val="none"/>
        </w:rPr>
      </w:pPr>
      <w:r w:rsidDel="00000000" w:rsidR="00000000" w:rsidRPr="00000000">
        <w:rPr>
          <w:b w:val="1"/>
          <w:bCs w:val="1"/>
          <w:rtl w:val="0"/>
        </w:rPr>
        <w:t xml:space="preserve">Scope 1 GHG Emissions:</w:t>
      </w:r>
      <w:r w:rsidDel="00000000" w:rsidR="00000000" w:rsidRPr="00000000">
        <w:rPr>
          <w:rtl w:val="0"/>
        </w:rPr>
        <w:t xml:space="preserve">  Direct greenhouse gas emissions that occur from sources that are owned or controlled by the reporting entity  </w:t>
      </w:r>
      <w:r w:rsidDel="00000000" w:rsidR="00000000" w:rsidRPr="00000000">
        <w:rPr>
          <w:i w:val="1"/>
          <w:iCs w:val="1"/>
          <w:rtl w:val="0"/>
        </w:rPr>
        <w:t xml:space="preserve">(AASB S2, Appendix A)</w:t>
      </w:r>
      <w:r w:rsidDel="00000000" w:rsidR="00000000" w:rsidRPr="00000000">
        <w:rPr>
          <w:rtl w:val="0"/>
        </w:rPr>
        <w:t xml:space="preserve"> .</w:t>
      </w:r>
    </w:p>
    <w:p w:rsidR="00000000" w:rsidDel="00000000" w:rsidP="00000000" w:rsidRDefault="00000000" w:rsidRPr="00000000" w14:paraId="0000003A">
      <w:pPr>
        <w:numPr>
          <w:ilvl w:val="0"/>
          <w:numId w:val="8"/>
        </w:numPr>
        <w:ind w:left="720" w:hanging="360"/>
        <w:rPr>
          <w:u w:val="none"/>
        </w:rPr>
      </w:pPr>
      <w:r w:rsidDel="00000000" w:rsidR="00000000" w:rsidRPr="00000000">
        <w:rPr>
          <w:b w:val="1"/>
          <w:bCs w:val="1"/>
          <w:rtl w:val="0"/>
        </w:rPr>
        <w:t xml:space="preserve">Scope 2 GHG Emissions:</w:t>
      </w:r>
      <w:r w:rsidDel="00000000" w:rsidR="00000000" w:rsidRPr="00000000">
        <w:rPr>
          <w:rtl w:val="0"/>
        </w:rPr>
        <w:t xml:space="preserve">  Indirect greenhouse gas emissions from the generation of purchased or acquired electricity, steam, heating, or cooling consumed by the reporting entity  </w:t>
      </w:r>
      <w:r w:rsidDel="00000000" w:rsidR="00000000" w:rsidRPr="00000000">
        <w:rPr>
          <w:i w:val="1"/>
          <w:iCs w:val="1"/>
          <w:rtl w:val="0"/>
        </w:rPr>
        <w:t xml:space="preserve">(AASB S2, Appendix A)</w:t>
      </w:r>
      <w:r w:rsidDel="00000000" w:rsidR="00000000" w:rsidRPr="00000000">
        <w:rPr>
          <w:rtl w:val="0"/>
        </w:rPr>
        <w:t xml:space="preserve"> .</w:t>
      </w:r>
    </w:p>
    <w:p w:rsidR="00000000" w:rsidDel="00000000" w:rsidP="00000000" w:rsidRDefault="00000000" w:rsidRPr="00000000" w14:paraId="0000003B">
      <w:pPr>
        <w:numPr>
          <w:ilvl w:val="0"/>
          <w:numId w:val="8"/>
        </w:numPr>
        <w:ind w:left="720" w:hanging="360"/>
        <w:rPr>
          <w:u w:val="none"/>
        </w:rPr>
      </w:pPr>
      <w:r w:rsidDel="00000000" w:rsidR="00000000" w:rsidRPr="00000000">
        <w:rPr>
          <w:b w:val="1"/>
          <w:bCs w:val="1"/>
          <w:rtl w:val="0"/>
        </w:rPr>
        <w:t xml:space="preserve">Scope 3 GHG Emissions:</w:t>
      </w:r>
      <w:r w:rsidDel="00000000" w:rsidR="00000000" w:rsidRPr="00000000">
        <w:rPr>
          <w:rtl w:val="0"/>
        </w:rPr>
        <w:t xml:space="preserve">  Indirect greenhouse gas emissions (not included in Scope 2) that occur in the value chain of the reporting entity, including both upstream and downstream emissions across 15 distinct categories  </w:t>
      </w:r>
      <w:r w:rsidDel="00000000" w:rsidR="00000000" w:rsidRPr="00000000">
        <w:rPr>
          <w:i w:val="1"/>
          <w:iCs w:val="1"/>
          <w:rtl w:val="0"/>
        </w:rPr>
        <w:t xml:space="preserve">(AASB S2, Appendix A &amp; SOURCE_IMAGE_1)</w:t>
      </w:r>
      <w:r w:rsidDel="00000000" w:rsidR="00000000" w:rsidRPr="00000000">
        <w:rPr>
          <w:rtl w:val="0"/>
        </w:rPr>
        <w:t xml:space="preserve"> .</w:t>
      </w:r>
    </w:p>
    <w:p w:rsidR="00000000" w:rsidDel="00000000" w:rsidP="00000000" w:rsidRDefault="00000000" w:rsidRPr="00000000" w14:paraId="0000003C">
      <w:pPr>
        <w:pStyle w:val="Heading5"/>
        <w:rPr/>
      </w:pPr>
      <w:bookmarkStart w:colFirst="0" w:colLast="0" w:name="_l6au2nckvq0a" w:id="10"/>
      <w:bookmarkEnd w:id="10"/>
      <w:r w:rsidDel="00000000" w:rsidR="00000000" w:rsidRPr="00000000">
        <w:rPr>
          <w:rtl w:val="0"/>
        </w:rPr>
        <w:t xml:space="preserve">Question 7: Group vs. Parent Entity Reporting Scope</w:t>
      </w:r>
    </w:p>
    <w:p w:rsidR="00000000" w:rsidDel="00000000" w:rsidP="00000000" w:rsidRDefault="00000000" w:rsidRPr="00000000" w14:paraId="0000003D">
      <w:pPr>
        <w:rPr/>
      </w:pPr>
      <w:r w:rsidDel="00000000" w:rsidR="00000000" w:rsidRPr="00000000">
        <w:rPr>
          <w:b w:val="1"/>
          <w:bCs w:val="1"/>
          <w:rtl w:val="0"/>
        </w:rPr>
        <w:t xml:space="preserve">Question:</w:t>
      </w:r>
      <w:r w:rsidDel="00000000" w:rsidR="00000000" w:rsidRPr="00000000">
        <w:rPr>
          <w:rtl w:val="0"/>
        </w:rPr>
        <w:t xml:space="preserve">  How does AASB S2 accommodate parent entity reporting under Australian law compared to global IFRS standards?</w:t>
      </w:r>
      <w:r w:rsidDel="00000000" w:rsidR="00000000" w:rsidRPr="00000000">
        <w:rPr>
          <w:b w:val="1"/>
          <w:bCs w:val="1"/>
          <w:rtl w:val="0"/>
        </w:rPr>
        <w:t xml:space="preserve">Model Answer:</w:t>
      </w:r>
      <w:r w:rsidDel="00000000" w:rsidR="00000000" w:rsidRPr="00000000">
        <w:rPr>
          <w:rtl w:val="0"/>
        </w:rPr>
        <w:t xml:space="preserve">  Under global IFRS standards (IFRS S1/S2), an entity is required to prepare climate disclosures for its consolidated group if its financial statements are prepared on a consolidated basis.However, under  </w:t>
      </w:r>
      <w:r w:rsidDel="00000000" w:rsidR="00000000" w:rsidRPr="00000000">
        <w:rPr>
          <w:b w:val="1"/>
          <w:bCs w:val="1"/>
          <w:rtl w:val="0"/>
        </w:rPr>
        <w:t xml:space="preserve">section 292A(2) of the Australian</w:t>
      </w:r>
      <w:r w:rsidDel="00000000" w:rsidR="00000000" w:rsidRPr="00000000">
        <w:rPr>
          <w:rtl w:val="0"/>
        </w:rPr>
        <w:t xml:space="preserve">  </w:t>
      </w:r>
      <w:r w:rsidDel="00000000" w:rsidR="00000000" w:rsidRPr="00000000">
        <w:rPr>
          <w:b w:val="1"/>
          <w:bCs w:val="1"/>
          <w:i w:val="1"/>
          <w:iCs w:val="1"/>
          <w:rtl w:val="0"/>
        </w:rPr>
        <w:t xml:space="preserve">Corporations Act 2001</w:t>
      </w:r>
      <w:r w:rsidDel="00000000" w:rsidR="00000000" w:rsidRPr="00000000">
        <w:rPr>
          <w:rtl w:val="0"/>
        </w:rPr>
        <w:t xml:space="preserve"> , a parent entity of a consolidated group is given the statutory choice to prepare its sustainability report for  </w:t>
      </w:r>
      <w:r w:rsidDel="00000000" w:rsidR="00000000" w:rsidRPr="00000000">
        <w:rPr>
          <w:b w:val="1"/>
          <w:bCs w:val="1"/>
          <w:rtl w:val="0"/>
        </w:rPr>
        <w:t xml:space="preserve">either the consolidated entity or the parent entity alone</w:t>
      </w:r>
      <w:r w:rsidDel="00000000" w:rsidR="00000000" w:rsidRPr="00000000">
        <w:rPr>
          <w:rtl w:val="0"/>
        </w:rPr>
        <w:t xml:space="preserve"> . AASB S2 explicitly modifies IFRS text in Appendix D to reflect this legislative flexibility  </w:t>
      </w:r>
      <w:r w:rsidDel="00000000" w:rsidR="00000000" w:rsidRPr="00000000">
        <w:rPr>
          <w:i w:val="1"/>
          <w:iCs w:val="1"/>
          <w:rtl w:val="0"/>
        </w:rPr>
        <w:t xml:space="preserve">(AASB S2, Preface, Comparison with IFRS S2(c))</w:t>
      </w:r>
      <w:r w:rsidDel="00000000" w:rsidR="00000000" w:rsidRPr="00000000">
        <w:rPr>
          <w:rtl w:val="0"/>
        </w:rPr>
        <w:t xml:space="preserve"> .</w:t>
      </w:r>
    </w:p>
    <w:p w:rsidR="00000000" w:rsidDel="00000000" w:rsidP="00000000" w:rsidRDefault="00000000" w:rsidRPr="00000000" w14:paraId="0000003E">
      <w:pPr>
        <w:pStyle w:val="Heading5"/>
        <w:rPr/>
      </w:pPr>
      <w:bookmarkStart w:colFirst="0" w:colLast="0" w:name="_cx5afuunvesp" w:id="11"/>
      <w:bookmarkEnd w:id="11"/>
      <w:r w:rsidDel="00000000" w:rsidR="00000000" w:rsidRPr="00000000">
        <w:rPr>
          <w:rtl w:val="0"/>
        </w:rPr>
        <w:t xml:space="preserve">Question 8: Net Targets and Carbon Credits Disclosures</w:t>
      </w:r>
    </w:p>
    <w:p w:rsidR="00000000" w:rsidDel="00000000" w:rsidP="00000000" w:rsidRDefault="00000000" w:rsidRPr="00000000" w14:paraId="0000003F">
      <w:pPr>
        <w:rPr/>
      </w:pPr>
      <w:r w:rsidDel="00000000" w:rsidR="00000000" w:rsidRPr="00000000">
        <w:rPr>
          <w:b w:val="1"/>
          <w:bCs w:val="1"/>
          <w:rtl w:val="0"/>
        </w:rPr>
        <w:t xml:space="preserve">Question:</w:t>
      </w:r>
      <w:r w:rsidDel="00000000" w:rsidR="00000000" w:rsidRPr="00000000">
        <w:rPr>
          <w:rtl w:val="0"/>
        </w:rPr>
        <w:t xml:space="preserve">  What specific disclosures are required under AASB S2 if an entity discloses a net greenhouse gas emissions target that relies on carbon credits?</w:t>
      </w:r>
      <w:r w:rsidDel="00000000" w:rsidR="00000000" w:rsidRPr="00000000">
        <w:rPr>
          <w:b w:val="1"/>
          <w:bCs w:val="1"/>
          <w:rtl w:val="0"/>
        </w:rPr>
        <w:t xml:space="preserve">Model Answer:</w:t>
      </w:r>
      <w:r w:rsidDel="00000000" w:rsidR="00000000" w:rsidRPr="00000000">
        <w:rPr>
          <w:rtl w:val="0"/>
        </w:rPr>
        <w:t xml:space="preserve">  When an entity discloses a net greenhouse gas emissions target, it must:</w:t>
      </w:r>
    </w:p>
    <w:p w:rsidR="00000000" w:rsidDel="00000000" w:rsidP="00000000" w:rsidRDefault="00000000" w:rsidRPr="00000000" w14:paraId="00000040">
      <w:pPr>
        <w:numPr>
          <w:ilvl w:val="0"/>
          <w:numId w:val="10"/>
        </w:numPr>
        <w:ind w:left="720" w:hanging="360"/>
        <w:rPr>
          <w:u w:val="none"/>
        </w:rPr>
      </w:pPr>
      <w:r w:rsidDel="00000000" w:rsidR="00000000" w:rsidRPr="00000000">
        <w:rPr>
          <w:rtl w:val="0"/>
        </w:rPr>
        <w:t xml:space="preserve">Separately disclose its associated  </w:t>
      </w:r>
      <w:r w:rsidDel="00000000" w:rsidR="00000000" w:rsidRPr="00000000">
        <w:rPr>
          <w:b w:val="1"/>
          <w:bCs w:val="1"/>
          <w:rtl w:val="0"/>
        </w:rPr>
        <w:t xml:space="preserve">gross greenhouse gas emissions target</w:t>
      </w:r>
      <w:r w:rsidDel="00000000" w:rsidR="00000000" w:rsidRPr="00000000">
        <w:rPr>
          <w:rtl w:val="0"/>
        </w:rPr>
        <w:t xml:space="preserve">   </w:t>
      </w:r>
      <w:r w:rsidDel="00000000" w:rsidR="00000000" w:rsidRPr="00000000">
        <w:rPr>
          <w:i w:val="1"/>
          <w:iCs w:val="1"/>
          <w:rtl w:val="0"/>
        </w:rPr>
        <w:t xml:space="preserve">(AASB S2, Paragraph 36(c))</w:t>
      </w:r>
      <w:r w:rsidDel="00000000" w:rsidR="00000000" w:rsidRPr="00000000">
        <w:rPr>
          <w:rtl w:val="0"/>
        </w:rPr>
        <w:t xml:space="preserve"> .</w:t>
      </w:r>
    </w:p>
    <w:p w:rsidR="00000000" w:rsidDel="00000000" w:rsidP="00000000" w:rsidRDefault="00000000" w:rsidRPr="00000000" w14:paraId="00000041">
      <w:pPr>
        <w:numPr>
          <w:ilvl w:val="0"/>
          <w:numId w:val="10"/>
        </w:numPr>
        <w:ind w:left="720" w:hanging="360"/>
        <w:rPr>
          <w:u w:val="none"/>
        </w:rPr>
      </w:pPr>
      <w:r w:rsidDel="00000000" w:rsidR="00000000" w:rsidRPr="00000000">
        <w:rPr>
          <w:rtl w:val="0"/>
        </w:rPr>
        <w:t xml:space="preserve">Disclose the extent to which, and how, achieving the net target relies on the use of carbon credits  </w:t>
      </w:r>
      <w:r w:rsidDel="00000000" w:rsidR="00000000" w:rsidRPr="00000000">
        <w:rPr>
          <w:i w:val="1"/>
          <w:iCs w:val="1"/>
          <w:rtl w:val="0"/>
        </w:rPr>
        <w:t xml:space="preserve">(AASB S2, Paragraph 36(e)(i))</w:t>
      </w:r>
      <w:r w:rsidDel="00000000" w:rsidR="00000000" w:rsidRPr="00000000">
        <w:rPr>
          <w:rtl w:val="0"/>
        </w:rPr>
        <w:t xml:space="preserve"> .</w:t>
      </w:r>
    </w:p>
    <w:p w:rsidR="00000000" w:rsidDel="00000000" w:rsidP="00000000" w:rsidRDefault="00000000" w:rsidRPr="00000000" w14:paraId="00000042">
      <w:pPr>
        <w:numPr>
          <w:ilvl w:val="0"/>
          <w:numId w:val="10"/>
        </w:numPr>
        <w:ind w:left="720" w:hanging="360"/>
        <w:rPr>
          <w:u w:val="none"/>
        </w:rPr>
      </w:pPr>
      <w:r w:rsidDel="00000000" w:rsidR="00000000" w:rsidRPr="00000000">
        <w:rPr>
          <w:rtl w:val="0"/>
        </w:rPr>
        <w:t xml:space="preserve">Identify which third-party scheme(s) will verify or certify the carbon credits  </w:t>
      </w:r>
      <w:r w:rsidDel="00000000" w:rsidR="00000000" w:rsidRPr="00000000">
        <w:rPr>
          <w:i w:val="1"/>
          <w:iCs w:val="1"/>
          <w:rtl w:val="0"/>
        </w:rPr>
        <w:t xml:space="preserve">(AASB S2, Paragraph 36(e)(ii))</w:t>
      </w:r>
      <w:r w:rsidDel="00000000" w:rsidR="00000000" w:rsidRPr="00000000">
        <w:rPr>
          <w:rtl w:val="0"/>
        </w:rPr>
        <w:t xml:space="preserve"> .</w:t>
      </w:r>
    </w:p>
    <w:p w:rsidR="00000000" w:rsidDel="00000000" w:rsidP="00000000" w:rsidRDefault="00000000" w:rsidRPr="00000000" w14:paraId="00000043">
      <w:pPr>
        <w:numPr>
          <w:ilvl w:val="0"/>
          <w:numId w:val="10"/>
        </w:numPr>
        <w:ind w:left="720" w:hanging="360"/>
        <w:rPr>
          <w:u w:val="none"/>
        </w:rPr>
      </w:pPr>
      <w:r w:rsidDel="00000000" w:rsidR="00000000" w:rsidRPr="00000000">
        <w:rPr>
          <w:rtl w:val="0"/>
        </w:rPr>
        <w:t xml:space="preserve">Specify the type of carbon credit, including whether the underlying offset is nature-based or technological, and whether it represents carbon reduction or removal  </w:t>
      </w:r>
      <w:r w:rsidDel="00000000" w:rsidR="00000000" w:rsidRPr="00000000">
        <w:rPr>
          <w:i w:val="1"/>
          <w:iCs w:val="1"/>
          <w:rtl w:val="0"/>
        </w:rPr>
        <w:t xml:space="preserve">(AASB S2, Paragraph 36(e)(iii))</w:t>
      </w:r>
      <w:r w:rsidDel="00000000" w:rsidR="00000000" w:rsidRPr="00000000">
        <w:rPr>
          <w:rtl w:val="0"/>
        </w:rPr>
        <w:t xml:space="preserve"> .</w:t>
      </w:r>
    </w:p>
    <w:p w:rsidR="00000000" w:rsidDel="00000000" w:rsidP="00000000" w:rsidRDefault="00000000" w:rsidRPr="00000000" w14:paraId="00000044">
      <w:pPr>
        <w:numPr>
          <w:ilvl w:val="0"/>
          <w:numId w:val="10"/>
        </w:numPr>
        <w:ind w:left="720" w:hanging="360"/>
        <w:rPr>
          <w:u w:val="none"/>
        </w:rPr>
      </w:pPr>
      <w:r w:rsidDel="00000000" w:rsidR="00000000" w:rsidRPr="00000000">
        <w:rPr>
          <w:rtl w:val="0"/>
        </w:rPr>
        <w:t xml:space="preserve">Provide information regarding the credibility and integrity of the credits, including key assumptions such as permanence  </w:t>
      </w:r>
      <w:r w:rsidDel="00000000" w:rsidR="00000000" w:rsidRPr="00000000">
        <w:rPr>
          <w:i w:val="1"/>
          <w:iCs w:val="1"/>
          <w:rtl w:val="0"/>
        </w:rPr>
        <w:t xml:space="preserve">(AASB S2, Paragraph 36(e)(iv))</w:t>
      </w:r>
      <w:r w:rsidDel="00000000" w:rsidR="00000000" w:rsidRPr="00000000">
        <w:rPr>
          <w:rtl w:val="0"/>
        </w:rPr>
        <w:t xml:space="preserve"> .</w:t>
      </w:r>
    </w:p>
    <w:p w:rsidR="00000000" w:rsidDel="00000000" w:rsidP="00000000" w:rsidRDefault="00000000" w:rsidRPr="00000000" w14:paraId="00000045">
      <w:pPr>
        <w:pStyle w:val="Heading4"/>
        <w:rPr/>
      </w:pPr>
      <w:bookmarkStart w:colFirst="0" w:colLast="0" w:name="_movl7cj0itvm" w:id="12"/>
      <w:bookmarkEnd w:id="12"/>
      <w:r w:rsidDel="00000000" w:rsidR="00000000" w:rsidRPr="00000000">
        <w:rPr>
          <w:rtl w:val="0"/>
        </w:rPr>
        <w:t xml:space="preserve">Section 3: Scenario-Based Application Questions &amp; Model Answers</w:t>
      </w:r>
    </w:p>
    <w:p w:rsidR="00000000" w:rsidDel="00000000" w:rsidP="00000000" w:rsidRDefault="00000000" w:rsidRPr="00000000" w14:paraId="00000046">
      <w:pPr>
        <w:pStyle w:val="Heading5"/>
        <w:rPr/>
      </w:pPr>
      <w:bookmarkStart w:colFirst="0" w:colLast="0" w:name="_lnzxk0dlb82u" w:id="13"/>
      <w:bookmarkEnd w:id="13"/>
      <w:r w:rsidDel="00000000" w:rsidR="00000000" w:rsidRPr="00000000">
        <w:rPr>
          <w:rtl w:val="0"/>
        </w:rPr>
        <w:t xml:space="preserve">Scenario 1: Scope 3 Value Chain Estimation and Prioritisation</w:t>
      </w:r>
    </w:p>
    <w:p w:rsidR="00000000" w:rsidDel="00000000" w:rsidP="00000000" w:rsidRDefault="00000000" w:rsidRPr="00000000" w14:paraId="00000047">
      <w:pPr>
        <w:rPr>
          <w:b w:val="1"/>
          <w:bCs w:val="1"/>
        </w:rPr>
      </w:pPr>
      <w:r w:rsidDel="00000000" w:rsidR="00000000" w:rsidRPr="00000000">
        <w:rPr>
          <w:b w:val="1"/>
          <w:bCs w:val="1"/>
          <w:rtl w:val="0"/>
        </w:rPr>
        <w:t xml:space="preserve">Context:</w:t>
      </w:r>
      <w:r w:rsidDel="00000000" w:rsidR="00000000" w:rsidRPr="00000000">
        <w:rPr>
          <w:rtl w:val="0"/>
        </w:rPr>
        <w:t xml:space="preserve">   </w:t>
      </w:r>
      <w:r w:rsidDel="00000000" w:rsidR="00000000" w:rsidRPr="00000000">
        <w:rPr>
          <w:i w:val="1"/>
          <w:iCs w:val="1"/>
          <w:rtl w:val="0"/>
        </w:rPr>
        <w:t xml:space="preserve">Apex Manufacturing Ltd</w:t>
      </w:r>
      <w:r w:rsidDel="00000000" w:rsidR="00000000" w:rsidRPr="00000000">
        <w:rPr>
          <w:rtl w:val="0"/>
        </w:rPr>
        <w:t xml:space="preserve"> , a Australian Group 1 reporting entity, is preparing its Scope 3 greenhouse gas disclosures. Apex sources raw metals from dozens of overseas suppliers. While a few tier-1 suppliers provide direct, verified emissions reports, most secondary suppliers cannot provide primary data without undue cost or effort. Apex's sustainability team asks how to navigate Scope 3 reporting compliance under AASB S2 without violating standard rules.</w:t>
      </w:r>
      <w:r w:rsidDel="00000000" w:rsidR="00000000" w:rsidRPr="00000000">
        <w:rPr>
          <w:b w:val="1"/>
          <w:bCs w:val="1"/>
          <w:rtl w:val="0"/>
        </w:rPr>
        <w:t xml:space="preserve">Question:</w:t>
      </w:r>
      <w:r w:rsidDel="00000000" w:rsidR="00000000" w:rsidRPr="00000000">
        <w:rPr>
          <w:rtl w:val="0"/>
        </w:rPr>
        <w:t xml:space="preserve">  Explain how Apex Manufacturing Ltd should apply the Scope 3 measurement framework and data prioritisation hierarchy under AASB S2. What must Apex disclose regarding data quality and value chain changes?</w:t>
      </w:r>
      <w:r w:rsidDel="00000000" w:rsidR="00000000" w:rsidRPr="00000000">
        <w:rPr>
          <w:b w:val="1"/>
          <w:bCs w:val="1"/>
          <w:rtl w:val="0"/>
        </w:rPr>
        <w:t xml:space="preserve">Model Answer:</w:t>
      </w:r>
    </w:p>
    <w:p w:rsidR="00000000" w:rsidDel="00000000" w:rsidP="00000000" w:rsidRDefault="00000000" w:rsidRPr="00000000" w14:paraId="00000048">
      <w:pPr>
        <w:numPr>
          <w:ilvl w:val="0"/>
          <w:numId w:val="1"/>
        </w:numPr>
        <w:ind w:left="720" w:hanging="360"/>
        <w:rPr>
          <w:u w:val="none"/>
        </w:rPr>
      </w:pPr>
      <w:r w:rsidDel="00000000" w:rsidR="00000000" w:rsidRPr="00000000">
        <w:rPr>
          <w:b w:val="1"/>
          <w:bCs w:val="1"/>
          <w:rtl w:val="0"/>
        </w:rPr>
        <w:t xml:space="preserve">Presumption of Reliable Estimation:</w:t>
      </w:r>
      <w:r w:rsidDel="00000000" w:rsidR="00000000" w:rsidRPr="00000000">
        <w:rPr>
          <w:rtl w:val="0"/>
        </w:rPr>
        <w:t xml:space="preserve">  Under AASB S2, there is a rebuttable presumption that Scope 3 emissions can be estimated reliably using secondary data and industry averages  </w:t>
      </w:r>
      <w:r w:rsidDel="00000000" w:rsidR="00000000" w:rsidRPr="00000000">
        <w:rPr>
          <w:i w:val="1"/>
          <w:iCs w:val="1"/>
          <w:rtl w:val="0"/>
        </w:rPr>
        <w:t xml:space="preserve">(AASB S2, Paragraph B57)</w:t>
      </w:r>
      <w:r w:rsidDel="00000000" w:rsidR="00000000" w:rsidRPr="00000000">
        <w:rPr>
          <w:rtl w:val="0"/>
        </w:rPr>
        <w:t xml:space="preserve"> . Apex is not excused from reporting simply because suppliers do not provide direct data.</w:t>
      </w:r>
    </w:p>
    <w:p w:rsidR="00000000" w:rsidDel="00000000" w:rsidP="00000000" w:rsidRDefault="00000000" w:rsidRPr="00000000" w14:paraId="00000049">
      <w:pPr>
        <w:numPr>
          <w:ilvl w:val="0"/>
          <w:numId w:val="1"/>
        </w:numPr>
        <w:ind w:left="720" w:hanging="360"/>
        <w:rPr>
          <w:u w:val="none"/>
        </w:rPr>
      </w:pPr>
      <w:r w:rsidDel="00000000" w:rsidR="00000000" w:rsidRPr="00000000">
        <w:rPr>
          <w:b w:val="1"/>
          <w:bCs w:val="1"/>
          <w:rtl w:val="0"/>
        </w:rPr>
        <w:t xml:space="preserve">Data Prioritisation Hierarchy (Paragraph B40):</w:t>
      </w:r>
      <w:r w:rsidDel="00000000" w:rsidR="00000000" w:rsidRPr="00000000">
        <w:rPr>
          <w:rtl w:val="0"/>
        </w:rPr>
        <w:t xml:space="preserve">  In selecting inputs and assumptions, Apex must exercise management judgement to prioritise inputs based on four key characteristics:</w:t>
      </w:r>
    </w:p>
    <w:p w:rsidR="00000000" w:rsidDel="00000000" w:rsidP="00000000" w:rsidRDefault="00000000" w:rsidRPr="00000000" w14:paraId="0000004A">
      <w:pPr>
        <w:numPr>
          <w:ilvl w:val="0"/>
          <w:numId w:val="1"/>
        </w:numPr>
        <w:ind w:left="720" w:hanging="360"/>
        <w:rPr>
          <w:u w:val="none"/>
        </w:rPr>
      </w:pPr>
      <w:r w:rsidDel="00000000" w:rsidR="00000000" w:rsidRPr="00000000">
        <w:rPr>
          <w:i w:val="1"/>
          <w:iCs w:val="1"/>
          <w:rtl w:val="0"/>
        </w:rPr>
        <w:t xml:space="preserve">Direct Measurement vs. Estimation:</w:t>
      </w:r>
      <w:r w:rsidDel="00000000" w:rsidR="00000000" w:rsidRPr="00000000">
        <w:rPr>
          <w:rtl w:val="0"/>
        </w:rPr>
        <w:t xml:space="preserve">  Prioritise direct measurement over estimation where available  </w:t>
      </w:r>
      <w:r w:rsidDel="00000000" w:rsidR="00000000" w:rsidRPr="00000000">
        <w:rPr>
          <w:i w:val="1"/>
          <w:iCs w:val="1"/>
          <w:rtl w:val="0"/>
        </w:rPr>
        <w:t xml:space="preserve">(Paragraph B43)</w:t>
      </w:r>
      <w:r w:rsidDel="00000000" w:rsidR="00000000" w:rsidRPr="00000000">
        <w:rPr>
          <w:rtl w:val="0"/>
        </w:rPr>
        <w:t xml:space="preserve"> .</w:t>
      </w:r>
    </w:p>
    <w:p w:rsidR="00000000" w:rsidDel="00000000" w:rsidP="00000000" w:rsidRDefault="00000000" w:rsidRPr="00000000" w14:paraId="0000004B">
      <w:pPr>
        <w:numPr>
          <w:ilvl w:val="0"/>
          <w:numId w:val="1"/>
        </w:numPr>
        <w:ind w:left="720" w:hanging="360"/>
        <w:rPr>
          <w:u w:val="none"/>
        </w:rPr>
      </w:pPr>
      <w:r w:rsidDel="00000000" w:rsidR="00000000" w:rsidRPr="00000000">
        <w:rPr>
          <w:i w:val="1"/>
          <w:iCs w:val="1"/>
          <w:rtl w:val="0"/>
        </w:rPr>
        <w:t xml:space="preserve">Primary vs. Secondary Data:</w:t>
      </w:r>
      <w:r w:rsidDel="00000000" w:rsidR="00000000" w:rsidRPr="00000000">
        <w:rPr>
          <w:rtl w:val="0"/>
        </w:rPr>
        <w:t xml:space="preserve">  Prioritise primary data obtained directly from value chain activities (e.g., supplier utility bills or specific emission factors) over secondary data (industry averages, statistical databases)  </w:t>
      </w:r>
      <w:r w:rsidDel="00000000" w:rsidR="00000000" w:rsidRPr="00000000">
        <w:rPr>
          <w:i w:val="1"/>
          <w:iCs w:val="1"/>
          <w:rtl w:val="0"/>
        </w:rPr>
        <w:t xml:space="preserve">(Paragraphs B46–B47)</w:t>
      </w:r>
      <w:r w:rsidDel="00000000" w:rsidR="00000000" w:rsidRPr="00000000">
        <w:rPr>
          <w:rtl w:val="0"/>
        </w:rPr>
        <w:t xml:space="preserve"> .</w:t>
      </w:r>
    </w:p>
    <w:p w:rsidR="00000000" w:rsidDel="00000000" w:rsidP="00000000" w:rsidRDefault="00000000" w:rsidRPr="00000000" w14:paraId="0000004C">
      <w:pPr>
        <w:numPr>
          <w:ilvl w:val="0"/>
          <w:numId w:val="1"/>
        </w:numPr>
        <w:ind w:left="720" w:hanging="360"/>
        <w:rPr>
          <w:u w:val="none"/>
        </w:rPr>
      </w:pPr>
      <w:r w:rsidDel="00000000" w:rsidR="00000000" w:rsidRPr="00000000">
        <w:rPr>
          <w:i w:val="1"/>
          <w:iCs w:val="1"/>
          <w:rtl w:val="0"/>
        </w:rPr>
        <w:t xml:space="preserve">Timeliness, Jurisdiction, and Technology:</w:t>
      </w:r>
      <w:r w:rsidDel="00000000" w:rsidR="00000000" w:rsidRPr="00000000">
        <w:rPr>
          <w:rtl w:val="0"/>
        </w:rPr>
        <w:t xml:space="preserve">  When secondary data is necessary, Apex must prioritise data that reflects the specific technology used, the geographic jurisdiction of the activity, and the current reporting period  </w:t>
      </w:r>
      <w:r w:rsidDel="00000000" w:rsidR="00000000" w:rsidRPr="00000000">
        <w:rPr>
          <w:i w:val="1"/>
          <w:iCs w:val="1"/>
          <w:rtl w:val="0"/>
        </w:rPr>
        <w:t xml:space="preserve">(Paragraphs B50–B52)</w:t>
      </w:r>
      <w:r w:rsidDel="00000000" w:rsidR="00000000" w:rsidRPr="00000000">
        <w:rPr>
          <w:rtl w:val="0"/>
        </w:rPr>
        <w:t xml:space="preserve"> .</w:t>
      </w:r>
    </w:p>
    <w:p w:rsidR="00000000" w:rsidDel="00000000" w:rsidP="00000000" w:rsidRDefault="00000000" w:rsidRPr="00000000" w14:paraId="0000004D">
      <w:pPr>
        <w:numPr>
          <w:ilvl w:val="0"/>
          <w:numId w:val="1"/>
        </w:numPr>
        <w:ind w:left="720" w:hanging="360"/>
        <w:rPr>
          <w:u w:val="none"/>
        </w:rPr>
      </w:pPr>
      <w:r w:rsidDel="00000000" w:rsidR="00000000" w:rsidRPr="00000000">
        <w:rPr>
          <w:i w:val="1"/>
          <w:iCs w:val="1"/>
          <w:rtl w:val="0"/>
        </w:rPr>
        <w:t xml:space="preserve">Verification:</w:t>
      </w:r>
      <w:r w:rsidDel="00000000" w:rsidR="00000000" w:rsidRPr="00000000">
        <w:rPr>
          <w:rtl w:val="0"/>
        </w:rPr>
        <w:t xml:space="preserve">  Prioritise verified data over unverified data  </w:t>
      </w:r>
      <w:r w:rsidDel="00000000" w:rsidR="00000000" w:rsidRPr="00000000">
        <w:rPr>
          <w:i w:val="1"/>
          <w:iCs w:val="1"/>
          <w:rtl w:val="0"/>
        </w:rPr>
        <w:t xml:space="preserve">(Paragraph B53)</w:t>
      </w:r>
      <w:r w:rsidDel="00000000" w:rsidR="00000000" w:rsidRPr="00000000">
        <w:rPr>
          <w:rtl w:val="0"/>
        </w:rPr>
        <w:t xml:space="preserve"> .</w:t>
      </w:r>
    </w:p>
    <w:p w:rsidR="00000000" w:rsidDel="00000000" w:rsidP="00000000" w:rsidRDefault="00000000" w:rsidRPr="00000000" w14:paraId="0000004E">
      <w:pPr>
        <w:numPr>
          <w:ilvl w:val="0"/>
          <w:numId w:val="1"/>
        </w:numPr>
        <w:ind w:left="720" w:hanging="360"/>
        <w:rPr>
          <w:u w:val="none"/>
        </w:rPr>
      </w:pPr>
      <w:r w:rsidDel="00000000" w:rsidR="00000000" w:rsidRPr="00000000">
        <w:rPr>
          <w:b w:val="1"/>
          <w:bCs w:val="1"/>
          <w:rtl w:val="0"/>
        </w:rPr>
        <w:t xml:space="preserve">Required Disclosures (Paragraph B56):</w:t>
      </w:r>
      <w:r w:rsidDel="00000000" w:rsidR="00000000" w:rsidRPr="00000000">
        <w:rPr>
          <w:rtl w:val="0"/>
        </w:rPr>
        <w:t xml:space="preserve">  Apex must explicitly disclose:</w:t>
      </w:r>
    </w:p>
    <w:p w:rsidR="00000000" w:rsidDel="00000000" w:rsidP="00000000" w:rsidRDefault="00000000" w:rsidRPr="00000000" w14:paraId="0000004F">
      <w:pPr>
        <w:numPr>
          <w:ilvl w:val="0"/>
          <w:numId w:val="1"/>
        </w:numPr>
        <w:ind w:left="720" w:hanging="360"/>
        <w:rPr>
          <w:u w:val="none"/>
        </w:rPr>
      </w:pPr>
      <w:r w:rsidDel="00000000" w:rsidR="00000000" w:rsidRPr="00000000">
        <w:rPr>
          <w:rtl w:val="0"/>
        </w:rPr>
        <w:t xml:space="preserve">The extent to which its Scope 3 emissions are measured using inputs from specific activities in its value chain (primary data);</w:t>
      </w:r>
    </w:p>
    <w:p w:rsidR="00000000" w:rsidDel="00000000" w:rsidP="00000000" w:rsidRDefault="00000000" w:rsidRPr="00000000" w14:paraId="00000050">
      <w:pPr>
        <w:numPr>
          <w:ilvl w:val="0"/>
          <w:numId w:val="1"/>
        </w:numPr>
        <w:ind w:left="720" w:hanging="360"/>
        <w:rPr>
          <w:u w:val="none"/>
        </w:rPr>
      </w:pPr>
      <w:r w:rsidDel="00000000" w:rsidR="00000000" w:rsidRPr="00000000">
        <w:rPr>
          <w:rtl w:val="0"/>
        </w:rPr>
        <w:t xml:space="preserve">The extent to which its Scope 3 inputs have been verified;</w:t>
      </w:r>
    </w:p>
    <w:p w:rsidR="00000000" w:rsidDel="00000000" w:rsidP="00000000" w:rsidRDefault="00000000" w:rsidRPr="00000000" w14:paraId="00000051">
      <w:pPr>
        <w:numPr>
          <w:ilvl w:val="0"/>
          <w:numId w:val="1"/>
        </w:numPr>
        <w:ind w:left="720" w:hanging="360"/>
        <w:rPr>
          <w:u w:val="none"/>
        </w:rPr>
      </w:pPr>
      <w:r w:rsidDel="00000000" w:rsidR="00000000" w:rsidRPr="00000000">
        <w:rPr>
          <w:rtl w:val="0"/>
        </w:rPr>
        <w:t xml:space="preserve">The measurement approach, inputs, emission factors, and assumptions used, along with the reasoning for these choices  </w:t>
      </w:r>
      <w:r w:rsidDel="00000000" w:rsidR="00000000" w:rsidRPr="00000000">
        <w:rPr>
          <w:i w:val="1"/>
          <w:iCs w:val="1"/>
          <w:rtl w:val="0"/>
        </w:rPr>
        <w:t xml:space="preserve">(Paragraph 29(a)(iii))</w:t>
      </w:r>
      <w:r w:rsidDel="00000000" w:rsidR="00000000" w:rsidRPr="00000000">
        <w:rPr>
          <w:rtl w:val="0"/>
        </w:rPr>
        <w:t xml:space="preserve"> .</w:t>
      </w:r>
    </w:p>
    <w:p w:rsidR="00000000" w:rsidDel="00000000" w:rsidP="00000000" w:rsidRDefault="00000000" w:rsidRPr="00000000" w14:paraId="00000052">
      <w:pPr>
        <w:numPr>
          <w:ilvl w:val="0"/>
          <w:numId w:val="1"/>
        </w:numPr>
        <w:ind w:left="720" w:hanging="360"/>
        <w:rPr>
          <w:u w:val="none"/>
        </w:rPr>
      </w:pPr>
      <w:r w:rsidDel="00000000" w:rsidR="00000000" w:rsidRPr="00000000">
        <w:rPr>
          <w:b w:val="1"/>
          <w:bCs w:val="1"/>
          <w:rtl w:val="0"/>
        </w:rPr>
        <w:t xml:space="preserve">Value Chain Reassessment (Paragraph B34):</w:t>
      </w:r>
      <w:r w:rsidDel="00000000" w:rsidR="00000000" w:rsidRPr="00000000">
        <w:rPr>
          <w:rtl w:val="0"/>
        </w:rPr>
        <w:t xml:space="preserve">  If a significant event occurs—such as a major acquisition or a critical supplier dramatically altering its production technology—Apex must reassess the scope of its value chain and affected Scope 3 categories.</w:t>
      </w:r>
    </w:p>
    <w:p w:rsidR="00000000" w:rsidDel="00000000" w:rsidP="00000000" w:rsidRDefault="00000000" w:rsidRPr="00000000" w14:paraId="00000053">
      <w:pPr>
        <w:pStyle w:val="Heading5"/>
        <w:rPr/>
      </w:pPr>
      <w:bookmarkStart w:colFirst="0" w:colLast="0" w:name="_p6exiu8ot3kn" w:id="14"/>
      <w:bookmarkEnd w:id="14"/>
      <w:r w:rsidDel="00000000" w:rsidR="00000000" w:rsidRPr="00000000">
        <w:rPr>
          <w:rtl w:val="0"/>
        </w:rPr>
        <w:t xml:space="preserve">Scenario 2: Multi-Year Scenario Analysis vs. Annual Resilience Updates</w:t>
      </w:r>
    </w:p>
    <w:p w:rsidR="00000000" w:rsidDel="00000000" w:rsidP="00000000" w:rsidRDefault="00000000" w:rsidRPr="00000000" w14:paraId="00000054">
      <w:pPr>
        <w:rPr>
          <w:b w:val="1"/>
          <w:bCs w:val="1"/>
        </w:rPr>
      </w:pPr>
      <w:r w:rsidDel="00000000" w:rsidR="00000000" w:rsidRPr="00000000">
        <w:rPr>
          <w:b w:val="1"/>
          <w:bCs w:val="1"/>
          <w:rtl w:val="0"/>
        </w:rPr>
        <w:t xml:space="preserve">Context:</w:t>
      </w:r>
      <w:r w:rsidDel="00000000" w:rsidR="00000000" w:rsidRPr="00000000">
        <w:rPr>
          <w:rtl w:val="0"/>
        </w:rPr>
        <w:t xml:space="preserve">   </w:t>
      </w:r>
      <w:r w:rsidDel="00000000" w:rsidR="00000000" w:rsidRPr="00000000">
        <w:rPr>
          <w:i w:val="1"/>
          <w:iCs w:val="1"/>
          <w:rtl w:val="0"/>
        </w:rPr>
        <w:t xml:space="preserve">Southern Mining Corp</w:t>
      </w:r>
      <w:r w:rsidDel="00000000" w:rsidR="00000000" w:rsidRPr="00000000">
        <w:rPr>
          <w:rtl w:val="0"/>
        </w:rPr>
        <w:t xml:space="preserve">  operates major mineral extraction sites across Western Australia. In 2025, Southern Mining conducts a comprehensive, quantitative climate-related scenario analysis aligned with its 3-year strategic planning cycle. In 2026 (Year 2), the board asks whether the company must rerun the complex climate scenario models again to comply with annual reporting requirements under AASB S2.</w:t>
      </w:r>
      <w:r w:rsidDel="00000000" w:rsidR="00000000" w:rsidRPr="00000000">
        <w:rPr>
          <w:b w:val="1"/>
          <w:bCs w:val="1"/>
          <w:rtl w:val="0"/>
        </w:rPr>
        <w:t xml:space="preserve">Question:</w:t>
      </w:r>
      <w:r w:rsidDel="00000000" w:rsidR="00000000" w:rsidRPr="00000000">
        <w:rPr>
          <w:rtl w:val="0"/>
        </w:rPr>
        <w:t xml:space="preserve">  Advise the board of Southern Mining Corp regarding its climate resilience and scenario analysis disclosure obligations for 2026 under AASB S2.</w:t>
      </w:r>
      <w:r w:rsidDel="00000000" w:rsidR="00000000" w:rsidRPr="00000000">
        <w:rPr>
          <w:b w:val="1"/>
          <w:bCs w:val="1"/>
          <w:rtl w:val="0"/>
        </w:rPr>
        <w:t xml:space="preserve">Model Answer:</w:t>
      </w:r>
    </w:p>
    <w:p w:rsidR="00000000" w:rsidDel="00000000" w:rsidP="00000000" w:rsidRDefault="00000000" w:rsidRPr="00000000" w14:paraId="00000055">
      <w:pPr>
        <w:numPr>
          <w:ilvl w:val="0"/>
          <w:numId w:val="3"/>
        </w:numPr>
        <w:ind w:left="720" w:hanging="360"/>
        <w:rPr>
          <w:u w:val="none"/>
        </w:rPr>
      </w:pPr>
      <w:r w:rsidDel="00000000" w:rsidR="00000000" w:rsidRPr="00000000">
        <w:rPr>
          <w:b w:val="1"/>
          <w:bCs w:val="1"/>
          <w:rtl w:val="0"/>
        </w:rPr>
        <w:t xml:space="preserve">Scenario Analysis Frequency vs. Annual Resilience Assessment:</w:t>
      </w:r>
      <w:r w:rsidDel="00000000" w:rsidR="00000000" w:rsidRPr="00000000">
        <w:rPr>
          <w:rtl w:val="0"/>
        </w:rPr>
        <w:t xml:space="preserve">  Under AASB S2 Paragraph B18, an entity is permitted to carry out its climate-related scenario analysis in line with its strategic planning cycle (e.g., every 3 to 5 years). Southern Mining is  </w:t>
      </w:r>
      <w:r w:rsidDel="00000000" w:rsidR="00000000" w:rsidRPr="00000000">
        <w:rPr>
          <w:b w:val="1"/>
          <w:bCs w:val="1"/>
          <w:rtl w:val="0"/>
        </w:rPr>
        <w:t xml:space="preserve">not required to rerun its quantitative climate scenarios annually</w:t>
      </w:r>
      <w:r w:rsidDel="00000000" w:rsidR="00000000" w:rsidRPr="00000000">
        <w:rPr>
          <w:rtl w:val="0"/>
        </w:rPr>
        <w:t xml:space="preserve">  in 2026.</w:t>
      </w:r>
    </w:p>
    <w:p w:rsidR="00000000" w:rsidDel="00000000" w:rsidP="00000000" w:rsidRDefault="00000000" w:rsidRPr="00000000" w14:paraId="00000056">
      <w:pPr>
        <w:numPr>
          <w:ilvl w:val="0"/>
          <w:numId w:val="3"/>
        </w:numPr>
        <w:ind w:left="720" w:hanging="360"/>
        <w:rPr>
          <w:u w:val="none"/>
        </w:rPr>
      </w:pPr>
      <w:r w:rsidDel="00000000" w:rsidR="00000000" w:rsidRPr="00000000">
        <w:rPr>
          <w:b w:val="1"/>
          <w:bCs w:val="1"/>
          <w:rtl w:val="0"/>
        </w:rPr>
        <w:t xml:space="preserve">Unchanged Methodological Disclosures:</w:t>
      </w:r>
      <w:r w:rsidDel="00000000" w:rsidR="00000000" w:rsidRPr="00000000">
        <w:rPr>
          <w:rtl w:val="0"/>
        </w:rPr>
        <w:t xml:space="preserve">  For the 2026 reporting period, Southern Mining’s disclosures regarding  </w:t>
      </w:r>
      <w:r w:rsidDel="00000000" w:rsidR="00000000" w:rsidRPr="00000000">
        <w:rPr>
          <w:i w:val="1"/>
          <w:iCs w:val="1"/>
          <w:rtl w:val="0"/>
        </w:rPr>
        <w:t xml:space="preserve">how and when</w:t>
      </w:r>
      <w:r w:rsidDel="00000000" w:rsidR="00000000" w:rsidRPr="00000000">
        <w:rPr>
          <w:rtl w:val="0"/>
        </w:rPr>
        <w:t xml:space="preserve">  the scenario analysis was conducted (inputs, scenarios used, key assumptions, time horizons under Paragraph 22(b)) may remain unchanged from 2025  </w:t>
      </w:r>
      <w:r w:rsidDel="00000000" w:rsidR="00000000" w:rsidRPr="00000000">
        <w:rPr>
          <w:i w:val="1"/>
          <w:iCs w:val="1"/>
          <w:rtl w:val="0"/>
        </w:rPr>
        <w:t xml:space="preserve">(AASB S2, Paragraph B18)</w:t>
      </w:r>
      <w:r w:rsidDel="00000000" w:rsidR="00000000" w:rsidRPr="00000000">
        <w:rPr>
          <w:rtl w:val="0"/>
        </w:rPr>
        <w:t xml:space="preserve"> .</w:t>
      </w:r>
    </w:p>
    <w:p w:rsidR="00000000" w:rsidDel="00000000" w:rsidP="00000000" w:rsidRDefault="00000000" w:rsidRPr="00000000" w14:paraId="00000057">
      <w:pPr>
        <w:numPr>
          <w:ilvl w:val="0"/>
          <w:numId w:val="3"/>
        </w:numPr>
        <w:ind w:left="720" w:hanging="360"/>
        <w:rPr>
          <w:u w:val="none"/>
        </w:rPr>
      </w:pPr>
      <w:r w:rsidDel="00000000" w:rsidR="00000000" w:rsidRPr="00000000">
        <w:rPr>
          <w:b w:val="1"/>
          <w:bCs w:val="1"/>
          <w:rtl w:val="0"/>
        </w:rPr>
        <w:t xml:space="preserve">Mandatory Annual Resilience Update (Paragraph 22(a)):</w:t>
      </w:r>
      <w:r w:rsidDel="00000000" w:rsidR="00000000" w:rsidRPr="00000000">
        <w:rPr>
          <w:rtl w:val="0"/>
        </w:rPr>
        <w:t xml:space="preserve">  While the underlying scenario modelling does not need to be rerun, Southern Mining  </w:t>
      </w:r>
      <w:r w:rsidDel="00000000" w:rsidR="00000000" w:rsidRPr="00000000">
        <w:rPr>
          <w:b w:val="1"/>
          <w:bCs w:val="1"/>
          <w:rtl w:val="0"/>
        </w:rPr>
        <w:t xml:space="preserve">must update its assessment of climate resilience annually</w:t>
      </w:r>
      <w:r w:rsidDel="00000000" w:rsidR="00000000" w:rsidRPr="00000000">
        <w:rPr>
          <w:rtl w:val="0"/>
        </w:rPr>
        <w:t xml:space="preserve">  at each reporting date  </w:t>
      </w:r>
      <w:r w:rsidDel="00000000" w:rsidR="00000000" w:rsidRPr="00000000">
        <w:rPr>
          <w:i w:val="1"/>
          <w:iCs w:val="1"/>
          <w:rtl w:val="0"/>
        </w:rPr>
        <w:t xml:space="preserve">(AASB S2, Paragraph B18)</w:t>
      </w:r>
      <w:r w:rsidDel="00000000" w:rsidR="00000000" w:rsidRPr="00000000">
        <w:rPr>
          <w:rtl w:val="0"/>
        </w:rPr>
        <w:t xml:space="preserve"> .</w:t>
      </w:r>
    </w:p>
    <w:p w:rsidR="00000000" w:rsidDel="00000000" w:rsidP="00000000" w:rsidRDefault="00000000" w:rsidRPr="00000000" w14:paraId="00000058">
      <w:pPr>
        <w:numPr>
          <w:ilvl w:val="0"/>
          <w:numId w:val="3"/>
        </w:numPr>
        <w:ind w:left="720" w:hanging="360"/>
        <w:rPr>
          <w:u w:val="none"/>
        </w:rPr>
      </w:pPr>
      <w:r w:rsidDel="00000000" w:rsidR="00000000" w:rsidRPr="00000000">
        <w:rPr>
          <w:b w:val="1"/>
          <w:bCs w:val="1"/>
          <w:rtl w:val="0"/>
        </w:rPr>
        <w:t xml:space="preserve">Contents of 2026 Resilience Update:</w:t>
      </w:r>
      <w:r w:rsidDel="00000000" w:rsidR="00000000" w:rsidRPr="00000000">
        <w:rPr>
          <w:rtl w:val="0"/>
        </w:rPr>
        <w:t xml:space="preserve">  Southern Mining must disclose:</w:t>
      </w:r>
    </w:p>
    <w:p w:rsidR="00000000" w:rsidDel="00000000" w:rsidP="00000000" w:rsidRDefault="00000000" w:rsidRPr="00000000" w14:paraId="00000059">
      <w:pPr>
        <w:numPr>
          <w:ilvl w:val="0"/>
          <w:numId w:val="3"/>
        </w:numPr>
        <w:ind w:left="720" w:hanging="360"/>
        <w:rPr>
          <w:u w:val="none"/>
        </w:rPr>
      </w:pPr>
      <w:r w:rsidDel="00000000" w:rsidR="00000000" w:rsidRPr="00000000">
        <w:rPr>
          <w:rtl w:val="0"/>
        </w:rPr>
        <w:t xml:space="preserve">Updated insights on how climate uncertainties affect its current strategy and business model  </w:t>
      </w:r>
      <w:r w:rsidDel="00000000" w:rsidR="00000000" w:rsidRPr="00000000">
        <w:rPr>
          <w:i w:val="1"/>
          <w:iCs w:val="1"/>
          <w:rtl w:val="0"/>
        </w:rPr>
        <w:t xml:space="preserve">(Paragraph 22(a)(i))</w:t>
      </w:r>
      <w:r w:rsidDel="00000000" w:rsidR="00000000" w:rsidRPr="00000000">
        <w:rPr>
          <w:rtl w:val="0"/>
        </w:rPr>
        <w:t xml:space="preserve"> ;</w:t>
      </w:r>
    </w:p>
    <w:p w:rsidR="00000000" w:rsidDel="00000000" w:rsidP="00000000" w:rsidRDefault="00000000" w:rsidRPr="00000000" w14:paraId="0000005A">
      <w:pPr>
        <w:numPr>
          <w:ilvl w:val="0"/>
          <w:numId w:val="3"/>
        </w:numPr>
        <w:ind w:left="720" w:hanging="360"/>
        <w:rPr>
          <w:u w:val="none"/>
        </w:rPr>
      </w:pPr>
      <w:r w:rsidDel="00000000" w:rsidR="00000000" w:rsidRPr="00000000">
        <w:rPr>
          <w:rtl w:val="0"/>
        </w:rPr>
        <w:t xml:space="preserve">Any changes in its capacity to adjust or adapt its strategy over short, medium, and long term horizons  </w:t>
      </w:r>
      <w:r w:rsidDel="00000000" w:rsidR="00000000" w:rsidRPr="00000000">
        <w:rPr>
          <w:i w:val="1"/>
          <w:iCs w:val="1"/>
          <w:rtl w:val="0"/>
        </w:rPr>
        <w:t xml:space="preserve">(Paragraph 22(a)(iii))</w:t>
      </w:r>
      <w:r w:rsidDel="00000000" w:rsidR="00000000" w:rsidRPr="00000000">
        <w:rPr>
          <w:rtl w:val="0"/>
        </w:rPr>
        <w:t xml:space="preserve"> ;</w:t>
      </w:r>
    </w:p>
    <w:p w:rsidR="00000000" w:rsidDel="00000000" w:rsidP="00000000" w:rsidRDefault="00000000" w:rsidRPr="00000000" w14:paraId="0000005B">
      <w:pPr>
        <w:numPr>
          <w:ilvl w:val="0"/>
          <w:numId w:val="3"/>
        </w:numPr>
        <w:ind w:left="720" w:hanging="360"/>
        <w:rPr>
          <w:u w:val="none"/>
        </w:rPr>
      </w:pPr>
      <w:r w:rsidDel="00000000" w:rsidR="00000000" w:rsidRPr="00000000">
        <w:rPr>
          <w:rtl w:val="0"/>
        </w:rPr>
        <w:t xml:space="preserve">The availability and flexibility of its financial resources to respond to emerging risks or opportunities, including planned capital investments  </w:t>
      </w:r>
      <w:r w:rsidDel="00000000" w:rsidR="00000000" w:rsidRPr="00000000">
        <w:rPr>
          <w:i w:val="1"/>
          <w:iCs w:val="1"/>
          <w:rtl w:val="0"/>
        </w:rPr>
        <w:t xml:space="preserve">(Paragraph 22(a)(iii)(1)–(3))</w:t>
      </w:r>
      <w:r w:rsidDel="00000000" w:rsidR="00000000" w:rsidRPr="00000000">
        <w:rPr>
          <w:rtl w:val="0"/>
        </w:rPr>
        <w:t xml:space="preserve"> .</w:t>
      </w:r>
    </w:p>
    <w:p w:rsidR="00000000" w:rsidDel="00000000" w:rsidP="00000000" w:rsidRDefault="00000000" w:rsidRPr="00000000" w14:paraId="0000005C">
      <w:pPr>
        <w:pStyle w:val="Heading5"/>
        <w:rPr/>
      </w:pPr>
      <w:bookmarkStart w:colFirst="0" w:colLast="0" w:name="_9m03td8ijv6d" w:id="15"/>
      <w:bookmarkEnd w:id="15"/>
      <w:r w:rsidDel="00000000" w:rsidR="00000000" w:rsidRPr="00000000">
        <w:rPr>
          <w:rtl w:val="0"/>
        </w:rPr>
        <w:t xml:space="preserve">Scenario 3: Financial Sector Financed Emissions Disclosures</w:t>
      </w:r>
    </w:p>
    <w:p w:rsidR="00000000" w:rsidDel="00000000" w:rsidP="00000000" w:rsidRDefault="00000000" w:rsidRPr="00000000" w14:paraId="0000005D">
      <w:pPr>
        <w:rPr/>
      </w:pPr>
      <w:r w:rsidDel="00000000" w:rsidR="00000000" w:rsidRPr="00000000">
        <w:rPr>
          <w:b w:val="1"/>
          <w:bCs w:val="1"/>
          <w:rtl w:val="0"/>
        </w:rPr>
        <w:t xml:space="preserve">Context:</w:t>
      </w:r>
      <w:r w:rsidDel="00000000" w:rsidR="00000000" w:rsidRPr="00000000">
        <w:rPr>
          <w:rtl w:val="0"/>
        </w:rPr>
        <w:t xml:space="preserve">   </w:t>
      </w:r>
      <w:r w:rsidDel="00000000" w:rsidR="00000000" w:rsidRPr="00000000">
        <w:rPr>
          <w:i w:val="1"/>
          <w:iCs w:val="1"/>
          <w:rtl w:val="0"/>
        </w:rPr>
        <w:t xml:space="preserve">Great Southern Bank</w:t>
      </w:r>
      <w:r w:rsidDel="00000000" w:rsidR="00000000" w:rsidRPr="00000000">
        <w:rPr>
          <w:rtl w:val="0"/>
        </w:rPr>
        <w:t xml:space="preserve">  (a commercial bank) holds a large portfolio of corporate loans, project finance, and equity investments across energy, agriculture, and property sectors. The chief risk officer is preparing the bank's Scope 3 disclosures and requires guidance on Category 15 (financed emissions).</w:t>
      </w:r>
      <w:r w:rsidDel="00000000" w:rsidR="00000000" w:rsidRPr="00000000">
        <w:rPr>
          <w:b w:val="1"/>
          <w:bCs w:val="1"/>
          <w:rtl w:val="0"/>
        </w:rPr>
        <w:t xml:space="preserve">Question:</w:t>
      </w:r>
      <w:r w:rsidDel="00000000" w:rsidR="00000000" w:rsidRPr="00000000">
        <w:rPr>
          <w:rtl w:val="0"/>
        </w:rPr>
        <w:t xml:space="preserve">  Outline the specific mandatory financed emissions disclosure requirements that Great Southern Bank must report under AASB S2.</w:t>
      </w:r>
    </w:p>
    <w:p w:rsidR="00000000" w:rsidDel="00000000" w:rsidP="00000000" w:rsidRDefault="00000000" w:rsidRPr="00000000" w14:paraId="0000005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5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GREAT SOUTHERN BANK: FINANCED EMISSIONS DISCLOSURE                  |</w:t>
      </w:r>
    </w:p>
    <w:p w:rsidR="00000000" w:rsidDel="00000000" w:rsidP="00000000" w:rsidRDefault="00000000" w:rsidRPr="00000000" w14:paraId="0000006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6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DISAGGREGATION METRICS:                                                          |</w:t>
      </w:r>
    </w:p>
    <w:p w:rsidR="00000000" w:rsidDel="00000000" w:rsidP="00000000" w:rsidRDefault="00000000" w:rsidRPr="00000000" w14:paraId="0000006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Scope 1, Scope 2, and Scope 3 absolute gross financed emissions.              |</w:t>
      </w:r>
    </w:p>
    <w:p w:rsidR="00000000" w:rsidDel="00000000" w:rsidP="00000000" w:rsidRDefault="00000000" w:rsidRPr="00000000" w14:paraId="0000006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Industry Breakdown: Mandatory GICS 6-digit classification codes.              |</w:t>
      </w:r>
    </w:p>
    <w:p w:rsidR="00000000" w:rsidDel="00000000" w:rsidP="00000000" w:rsidRDefault="00000000" w:rsidRPr="00000000" w14:paraId="0000006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Asset Classes: Loans, project finance, bonds, equity investments, undrawn.    |</w:t>
      </w:r>
    </w:p>
    <w:p w:rsidR="00000000" w:rsidDel="00000000" w:rsidP="00000000" w:rsidRDefault="00000000" w:rsidRPr="00000000" w14:paraId="0000006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6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EXPOSURE &amp; METHODOLOGY REPORTING:                                                |</w:t>
      </w:r>
    </w:p>
    <w:p w:rsidR="00000000" w:rsidDel="00000000" w:rsidP="00000000" w:rsidRDefault="00000000" w:rsidRPr="00000000" w14:paraId="0000006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Gross Exposure: Funded carrying amounts + undrawn commitments (separately).   |</w:t>
      </w:r>
    </w:p>
    <w:p w:rsidR="00000000" w:rsidDel="00000000" w:rsidP="00000000" w:rsidRDefault="00000000" w:rsidRPr="00000000" w14:paraId="0000006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Coverage %: Percentage of total gross exposure included in calculation.        |</w:t>
      </w:r>
    </w:p>
    <w:p w:rsidR="00000000" w:rsidDel="00000000" w:rsidP="00000000" w:rsidRDefault="00000000" w:rsidRPr="00000000" w14:paraId="0000006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Allocation Method: Attribution proportion based on investment/exposure size. |</w:t>
      </w:r>
    </w:p>
    <w:p w:rsidR="00000000" w:rsidDel="00000000" w:rsidP="00000000" w:rsidRDefault="00000000" w:rsidRPr="00000000" w14:paraId="0000006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6B">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C">
      <w:pPr>
        <w:rPr/>
      </w:pPr>
      <w:r w:rsidDel="00000000" w:rsidR="00000000" w:rsidRPr="00000000">
        <w:rPr>
          <w:b w:val="1"/>
          <w:bCs w:val="1"/>
          <w:rtl w:val="0"/>
        </w:rPr>
        <w:t xml:space="preserve">Model Answer:</w:t>
      </w:r>
      <w:r w:rsidDel="00000000" w:rsidR="00000000" w:rsidRPr="00000000">
        <w:rPr>
          <w:rtl w:val="0"/>
        </w:rPr>
        <w:t xml:space="preserve">  Under AASB S2 Paragraph 29(a)(vi)(2) and Paragraph B62, commercial banks participating in financial activities must disclose specific, detailed Category 15 financed emissions data:</w:t>
      </w:r>
    </w:p>
    <w:p w:rsidR="00000000" w:rsidDel="00000000" w:rsidP="00000000" w:rsidRDefault="00000000" w:rsidRPr="00000000" w14:paraId="0000006D">
      <w:pPr>
        <w:numPr>
          <w:ilvl w:val="0"/>
          <w:numId w:val="6"/>
        </w:numPr>
        <w:ind w:left="720" w:hanging="360"/>
        <w:rPr>
          <w:b w:val="1"/>
          <w:bCs w:val="1"/>
          <w:u w:val="none"/>
        </w:rPr>
      </w:pPr>
      <w:r w:rsidDel="00000000" w:rsidR="00000000" w:rsidRPr="00000000">
        <w:rPr>
          <w:b w:val="1"/>
          <w:bCs w:val="1"/>
          <w:rtl w:val="0"/>
        </w:rPr>
        <w:t xml:space="preserve">Disaggregation by Emissions Scope, Industry, and Asset Class (Paragraph B62(a)):</w:t>
      </w:r>
    </w:p>
    <w:p w:rsidR="00000000" w:rsidDel="00000000" w:rsidP="00000000" w:rsidRDefault="00000000" w:rsidRPr="00000000" w14:paraId="0000006E">
      <w:pPr>
        <w:numPr>
          <w:ilvl w:val="0"/>
          <w:numId w:val="6"/>
        </w:numPr>
        <w:ind w:left="720" w:hanging="360"/>
        <w:rPr>
          <w:u w:val="none"/>
        </w:rPr>
      </w:pPr>
      <w:r w:rsidDel="00000000" w:rsidR="00000000" w:rsidRPr="00000000">
        <w:rPr>
          <w:rtl w:val="0"/>
        </w:rPr>
        <w:t xml:space="preserve">Must disclose absolute gross financed emissions disaggregated by  </w:t>
      </w:r>
      <w:r w:rsidDel="00000000" w:rsidR="00000000" w:rsidRPr="00000000">
        <w:rPr>
          <w:b w:val="1"/>
          <w:bCs w:val="1"/>
          <w:rtl w:val="0"/>
        </w:rPr>
        <w:t xml:space="preserve">Scope 1, Scope 2, and Scope 3</w:t>
      </w:r>
      <w:r w:rsidDel="00000000" w:rsidR="00000000" w:rsidRPr="00000000">
        <w:rPr>
          <w:rtl w:val="0"/>
        </w:rPr>
        <w:t xml:space="preserve"> .</w:t>
      </w:r>
    </w:p>
    <w:p w:rsidR="00000000" w:rsidDel="00000000" w:rsidP="00000000" w:rsidRDefault="00000000" w:rsidRPr="00000000" w14:paraId="0000006F">
      <w:pPr>
        <w:numPr>
          <w:ilvl w:val="0"/>
          <w:numId w:val="6"/>
        </w:numPr>
        <w:ind w:left="720" w:hanging="360"/>
        <w:rPr>
          <w:u w:val="none"/>
        </w:rPr>
      </w:pPr>
      <w:r w:rsidDel="00000000" w:rsidR="00000000" w:rsidRPr="00000000">
        <w:rPr>
          <w:rtl w:val="0"/>
        </w:rPr>
        <w:t xml:space="preserve">Must disaggregate emissions by industry using the  </w:t>
      </w:r>
      <w:r w:rsidDel="00000000" w:rsidR="00000000" w:rsidRPr="00000000">
        <w:rPr>
          <w:b w:val="1"/>
          <w:bCs w:val="1"/>
          <w:rtl w:val="0"/>
        </w:rPr>
        <w:t xml:space="preserve">Global Industry Classification Standard (GICS) 6-digit industry-level codes</w:t>
      </w:r>
      <w:r w:rsidDel="00000000" w:rsidR="00000000" w:rsidRPr="00000000">
        <w:rPr>
          <w:rtl w:val="0"/>
        </w:rPr>
        <w:t xml:space="preserve">  (reflecting the version incorporating amendments to August 2024 per Paragraph AusB63.1).</w:t>
      </w:r>
    </w:p>
    <w:p w:rsidR="00000000" w:rsidDel="00000000" w:rsidP="00000000" w:rsidRDefault="00000000" w:rsidRPr="00000000" w14:paraId="00000070">
      <w:pPr>
        <w:numPr>
          <w:ilvl w:val="0"/>
          <w:numId w:val="6"/>
        </w:numPr>
        <w:ind w:left="720" w:hanging="360"/>
        <w:rPr>
          <w:u w:val="none"/>
        </w:rPr>
      </w:pPr>
      <w:r w:rsidDel="00000000" w:rsidR="00000000" w:rsidRPr="00000000">
        <w:rPr>
          <w:rtl w:val="0"/>
        </w:rPr>
        <w:t xml:space="preserve">Must disaggregate by specific asset classes:  </w:t>
      </w:r>
      <w:r w:rsidDel="00000000" w:rsidR="00000000" w:rsidRPr="00000000">
        <w:rPr>
          <w:i w:val="1"/>
          <w:iCs w:val="1"/>
          <w:rtl w:val="0"/>
        </w:rPr>
        <w:t xml:space="preserve">loans, project finance, bonds, equity investments, and undrawn loan commitments</w:t>
      </w:r>
      <w:r w:rsidDel="00000000" w:rsidR="00000000" w:rsidRPr="00000000">
        <w:rPr>
          <w:rtl w:val="0"/>
        </w:rPr>
        <w:t xml:space="preserve"> .</w:t>
      </w:r>
    </w:p>
    <w:p w:rsidR="00000000" w:rsidDel="00000000" w:rsidP="00000000" w:rsidRDefault="00000000" w:rsidRPr="00000000" w14:paraId="00000071">
      <w:pPr>
        <w:numPr>
          <w:ilvl w:val="0"/>
          <w:numId w:val="6"/>
        </w:numPr>
        <w:ind w:left="720" w:hanging="360"/>
        <w:rPr>
          <w:b w:val="1"/>
          <w:bCs w:val="1"/>
        </w:rPr>
      </w:pPr>
      <w:r w:rsidDel="00000000" w:rsidR="00000000" w:rsidRPr="00000000">
        <w:rPr>
          <w:b w:val="1"/>
          <w:bCs w:val="1"/>
          <w:rtl w:val="0"/>
        </w:rPr>
        <w:t xml:space="preserve">Gross Exposure Disclosure (Paragraph B62(b)):</w:t>
      </w:r>
    </w:p>
    <w:p w:rsidR="00000000" w:rsidDel="00000000" w:rsidP="00000000" w:rsidRDefault="00000000" w:rsidRPr="00000000" w14:paraId="00000072">
      <w:pPr>
        <w:numPr>
          <w:ilvl w:val="0"/>
          <w:numId w:val="6"/>
        </w:numPr>
        <w:ind w:left="720" w:hanging="360"/>
        <w:rPr>
          <w:u w:val="none"/>
        </w:rPr>
      </w:pPr>
      <w:r w:rsidDel="00000000" w:rsidR="00000000" w:rsidRPr="00000000">
        <w:rPr>
          <w:rtl w:val="0"/>
        </w:rPr>
        <w:t xml:space="preserve">Must report gross exposure for each industry by asset class in the bank's presentation currency.</w:t>
      </w:r>
    </w:p>
    <w:p w:rsidR="00000000" w:rsidDel="00000000" w:rsidP="00000000" w:rsidRDefault="00000000" w:rsidRPr="00000000" w14:paraId="00000073">
      <w:pPr>
        <w:numPr>
          <w:ilvl w:val="0"/>
          <w:numId w:val="6"/>
        </w:numPr>
        <w:ind w:left="720" w:hanging="360"/>
        <w:rPr>
          <w:u w:val="none"/>
        </w:rPr>
      </w:pPr>
      <w:r w:rsidDel="00000000" w:rsidR="00000000" w:rsidRPr="00000000">
        <w:rPr>
          <w:i w:val="1"/>
          <w:iCs w:val="1"/>
          <w:rtl w:val="0"/>
        </w:rPr>
        <w:t xml:space="preserve">Funded amounts</w:t>
      </w:r>
      <w:r w:rsidDel="00000000" w:rsidR="00000000" w:rsidRPr="00000000">
        <w:rPr>
          <w:rtl w:val="0"/>
        </w:rPr>
        <w:t xml:space="preserve">  must be reported as funded carrying amounts before subtracting loss allowances.</w:t>
      </w:r>
    </w:p>
    <w:p w:rsidR="00000000" w:rsidDel="00000000" w:rsidP="00000000" w:rsidRDefault="00000000" w:rsidRPr="00000000" w14:paraId="00000074">
      <w:pPr>
        <w:numPr>
          <w:ilvl w:val="0"/>
          <w:numId w:val="6"/>
        </w:numPr>
        <w:ind w:left="720" w:hanging="360"/>
        <w:rPr>
          <w:u w:val="none"/>
        </w:rPr>
      </w:pPr>
      <w:r w:rsidDel="00000000" w:rsidR="00000000" w:rsidRPr="00000000">
        <w:rPr>
          <w:i w:val="1"/>
          <w:iCs w:val="1"/>
          <w:rtl w:val="0"/>
        </w:rPr>
        <w:t xml:space="preserve">Undrawn loan commitments</w:t>
      </w:r>
      <w:r w:rsidDel="00000000" w:rsidR="00000000" w:rsidRPr="00000000">
        <w:rPr>
          <w:rtl w:val="0"/>
        </w:rPr>
        <w:t xml:space="preserve">  must be disclosed in full, completely separate from drawn loan amounts.</w:t>
      </w:r>
    </w:p>
    <w:p w:rsidR="00000000" w:rsidDel="00000000" w:rsidP="00000000" w:rsidRDefault="00000000" w:rsidRPr="00000000" w14:paraId="00000075">
      <w:pPr>
        <w:numPr>
          <w:ilvl w:val="0"/>
          <w:numId w:val="6"/>
        </w:numPr>
        <w:ind w:left="720" w:hanging="360"/>
        <w:rPr>
          <w:b w:val="1"/>
          <w:bCs w:val="1"/>
        </w:rPr>
      </w:pPr>
      <w:r w:rsidDel="00000000" w:rsidR="00000000" w:rsidRPr="00000000">
        <w:rPr>
          <w:b w:val="1"/>
          <w:bCs w:val="1"/>
          <w:rtl w:val="0"/>
        </w:rPr>
        <w:t xml:space="preserve">Portfolio Coverage Percentage (Paragraph B62(c)):</w:t>
      </w:r>
    </w:p>
    <w:p w:rsidR="00000000" w:rsidDel="00000000" w:rsidP="00000000" w:rsidRDefault="00000000" w:rsidRPr="00000000" w14:paraId="00000076">
      <w:pPr>
        <w:numPr>
          <w:ilvl w:val="0"/>
          <w:numId w:val="6"/>
        </w:numPr>
        <w:ind w:left="720" w:hanging="360"/>
        <w:rPr>
          <w:u w:val="none"/>
        </w:rPr>
      </w:pPr>
      <w:r w:rsidDel="00000000" w:rsidR="00000000" w:rsidRPr="00000000">
        <w:rPr>
          <w:rtl w:val="0"/>
        </w:rPr>
        <w:t xml:space="preserve">Must disclose the percentage of its gross exposure included in the financed emissions calculation.</w:t>
      </w:r>
    </w:p>
    <w:p w:rsidR="00000000" w:rsidDel="00000000" w:rsidP="00000000" w:rsidRDefault="00000000" w:rsidRPr="00000000" w14:paraId="00000077">
      <w:pPr>
        <w:numPr>
          <w:ilvl w:val="0"/>
          <w:numId w:val="6"/>
        </w:numPr>
        <w:ind w:left="720" w:hanging="360"/>
        <w:rPr>
          <w:u w:val="none"/>
        </w:rPr>
      </w:pPr>
      <w:r w:rsidDel="00000000" w:rsidR="00000000" w:rsidRPr="00000000">
        <w:rPr>
          <w:rtl w:val="0"/>
        </w:rPr>
        <w:t xml:space="preserve">If coverage is less than 100%, the bank must explicitly explain the exclusions (e.g., excluded asset classes).</w:t>
      </w:r>
    </w:p>
    <w:p w:rsidR="00000000" w:rsidDel="00000000" w:rsidP="00000000" w:rsidRDefault="00000000" w:rsidRPr="00000000" w14:paraId="00000078">
      <w:pPr>
        <w:numPr>
          <w:ilvl w:val="0"/>
          <w:numId w:val="6"/>
        </w:numPr>
        <w:ind w:left="720" w:hanging="360"/>
        <w:rPr>
          <w:u w:val="none"/>
        </w:rPr>
      </w:pPr>
      <w:r w:rsidDel="00000000" w:rsidR="00000000" w:rsidRPr="00000000">
        <w:rPr>
          <w:rtl w:val="0"/>
        </w:rPr>
        <w:t xml:space="preserve">Exclude risk mitigants for funded amounts, and report undrawn loan commitment coverage percentages separately.</w:t>
      </w:r>
    </w:p>
    <w:p w:rsidR="00000000" w:rsidDel="00000000" w:rsidP="00000000" w:rsidRDefault="00000000" w:rsidRPr="00000000" w14:paraId="00000079">
      <w:pPr>
        <w:numPr>
          <w:ilvl w:val="0"/>
          <w:numId w:val="6"/>
        </w:numPr>
        <w:ind w:left="720" w:hanging="360"/>
        <w:rPr>
          <w:b w:val="1"/>
          <w:bCs w:val="1"/>
        </w:rPr>
      </w:pPr>
      <w:r w:rsidDel="00000000" w:rsidR="00000000" w:rsidRPr="00000000">
        <w:rPr>
          <w:b w:val="1"/>
          <w:bCs w:val="1"/>
          <w:rtl w:val="0"/>
        </w:rPr>
        <w:t xml:space="preserve">Allocation Methodology (Paragraph B62(d)):</w:t>
      </w:r>
    </w:p>
    <w:p w:rsidR="00000000" w:rsidDel="00000000" w:rsidP="00000000" w:rsidRDefault="00000000" w:rsidRPr="00000000" w14:paraId="0000007A">
      <w:pPr>
        <w:numPr>
          <w:ilvl w:val="0"/>
          <w:numId w:val="6"/>
        </w:numPr>
        <w:ind w:left="720" w:hanging="360"/>
        <w:rPr>
          <w:u w:val="none"/>
        </w:rPr>
      </w:pPr>
      <w:r w:rsidDel="00000000" w:rsidR="00000000" w:rsidRPr="00000000">
        <w:rPr>
          <w:rtl w:val="0"/>
        </w:rPr>
        <w:t xml:space="preserve">Must disclose the exact calculation methodology used, including the allocation method applied to attribute its share of investee emissions relative to the bank's gross exposure size.</w:t>
      </w:r>
    </w:p>
    <w:p w:rsidR="00000000" w:rsidDel="00000000" w:rsidP="00000000" w:rsidRDefault="00000000" w:rsidRPr="00000000" w14:paraId="0000007B">
      <w:pPr>
        <w:pStyle w:val="Heading4"/>
        <w:rPr/>
      </w:pPr>
      <w:bookmarkStart w:colFirst="0" w:colLast="0" w:name="_6tn106u5pkdo" w:id="16"/>
      <w:bookmarkEnd w:id="16"/>
      <w:r w:rsidDel="00000000" w:rsidR="00000000" w:rsidRPr="00000000">
        <w:rPr>
          <w:rtl w:val="0"/>
        </w:rPr>
        <w:t xml:space="preserve">Section 4: Glossary of Important Terms</w:t>
      </w:r>
    </w:p>
    <w:p w:rsidR="00000000" w:rsidDel="00000000" w:rsidP="00000000" w:rsidRDefault="00000000" w:rsidRPr="00000000" w14:paraId="0000007C">
      <w:pPr>
        <w:rPr/>
      </w:pPr>
      <w:r w:rsidDel="00000000" w:rsidR="00000000" w:rsidRPr="00000000">
        <w:rPr>
          <w:rtl w:val="0"/>
        </w:rPr>
        <w:t xml:space="preserve">The following 12 terms are defined in Appendix A and Appendix D of AASB S2:</w:t>
      </w:r>
    </w:p>
    <w:p w:rsidR="00000000" w:rsidDel="00000000" w:rsidP="00000000" w:rsidRDefault="00000000" w:rsidRPr="00000000" w14:paraId="0000007D">
      <w:pPr>
        <w:numPr>
          <w:ilvl w:val="0"/>
          <w:numId w:val="7"/>
        </w:numPr>
        <w:ind w:left="720" w:hanging="360"/>
        <w:rPr>
          <w:u w:val="none"/>
        </w:rPr>
      </w:pPr>
      <w:r w:rsidDel="00000000" w:rsidR="00000000" w:rsidRPr="00000000">
        <w:rPr>
          <w:b w:val="1"/>
          <w:bCs w:val="1"/>
          <w:rtl w:val="0"/>
        </w:rPr>
        <w:t xml:space="preserve">Carbon Credit:</w:t>
      </w:r>
      <w:r w:rsidDel="00000000" w:rsidR="00000000" w:rsidRPr="00000000">
        <w:rPr>
          <w:rtl w:val="0"/>
        </w:rPr>
        <w:t xml:space="preserve">  An emissions unit issued by a carbon crediting programme that represents an emission reduction or removal of greenhouse gases. Carbon credits are uniquely serialised, issued, tracked, and cancelled by means of an electronic registry  </w:t>
      </w:r>
      <w:r w:rsidDel="00000000" w:rsidR="00000000" w:rsidRPr="00000000">
        <w:rPr>
          <w:i w:val="1"/>
          <w:iCs w:val="1"/>
          <w:rtl w:val="0"/>
        </w:rPr>
        <w:t xml:space="preserve">(AASB S2, Appendix A)</w:t>
      </w:r>
      <w:r w:rsidDel="00000000" w:rsidR="00000000" w:rsidRPr="00000000">
        <w:rPr>
          <w:rtl w:val="0"/>
        </w:rPr>
        <w:t xml:space="preserve"> .</w:t>
      </w:r>
    </w:p>
    <w:p w:rsidR="00000000" w:rsidDel="00000000" w:rsidP="00000000" w:rsidRDefault="00000000" w:rsidRPr="00000000" w14:paraId="0000007E">
      <w:pPr>
        <w:numPr>
          <w:ilvl w:val="0"/>
          <w:numId w:val="7"/>
        </w:numPr>
        <w:ind w:left="720" w:hanging="360"/>
        <w:rPr>
          <w:u w:val="none"/>
        </w:rPr>
      </w:pPr>
      <w:r w:rsidDel="00000000" w:rsidR="00000000" w:rsidRPr="00000000">
        <w:rPr>
          <w:b w:val="1"/>
          <w:bCs w:val="1"/>
          <w:rtl w:val="0"/>
        </w:rPr>
        <w:t xml:space="preserve">Climate Resilience:</w:t>
      </w:r>
      <w:r w:rsidDel="00000000" w:rsidR="00000000" w:rsidRPr="00000000">
        <w:rPr>
          <w:rtl w:val="0"/>
        </w:rPr>
        <w:t xml:space="preserve">  The capacity of an entity to adjust to climate-related changes, developments, or uncertainties. It involves the capacity to manage climate-related risks and benefit from climate-related opportunities, encompassing both strategic and operational resilience  </w:t>
      </w:r>
      <w:r w:rsidDel="00000000" w:rsidR="00000000" w:rsidRPr="00000000">
        <w:rPr>
          <w:i w:val="1"/>
          <w:iCs w:val="1"/>
          <w:rtl w:val="0"/>
        </w:rPr>
        <w:t xml:space="preserve">(AASB S2, Appendix A)</w:t>
      </w:r>
      <w:r w:rsidDel="00000000" w:rsidR="00000000" w:rsidRPr="00000000">
        <w:rPr>
          <w:rtl w:val="0"/>
        </w:rPr>
        <w:t xml:space="preserve"> .</w:t>
      </w:r>
    </w:p>
    <w:p w:rsidR="00000000" w:rsidDel="00000000" w:rsidP="00000000" w:rsidRDefault="00000000" w:rsidRPr="00000000" w14:paraId="0000007F">
      <w:pPr>
        <w:numPr>
          <w:ilvl w:val="0"/>
          <w:numId w:val="7"/>
        </w:numPr>
        <w:ind w:left="720" w:hanging="360"/>
        <w:rPr>
          <w:u w:val="none"/>
        </w:rPr>
      </w:pPr>
      <w:r w:rsidDel="00000000" w:rsidR="00000000" w:rsidRPr="00000000">
        <w:rPr>
          <w:b w:val="1"/>
          <w:bCs w:val="1"/>
          <w:rtl w:val="0"/>
        </w:rPr>
        <w:t xml:space="preserve">Climate-related Physical Risks:</w:t>
      </w:r>
      <w:r w:rsidDel="00000000" w:rsidR="00000000" w:rsidRPr="00000000">
        <w:rPr>
          <w:rtl w:val="0"/>
        </w:rPr>
        <w:t xml:space="preserve">  Risks resulting from climate change that can be event-driven ( </w:t>
      </w:r>
      <w:r w:rsidDel="00000000" w:rsidR="00000000" w:rsidRPr="00000000">
        <w:rPr>
          <w:i w:val="1"/>
          <w:iCs w:val="1"/>
          <w:rtl w:val="0"/>
        </w:rPr>
        <w:t xml:space="preserve">acute physical risks</w:t>
      </w:r>
      <w:r w:rsidDel="00000000" w:rsidR="00000000" w:rsidRPr="00000000">
        <w:rPr>
          <w:rtl w:val="0"/>
        </w:rPr>
        <w:t xml:space="preserve"> , such as storms, floods, drought, or heatwaves) or from longer-term shifts in climatic patterns ( </w:t>
      </w:r>
      <w:r w:rsidDel="00000000" w:rsidR="00000000" w:rsidRPr="00000000">
        <w:rPr>
          <w:i w:val="1"/>
          <w:iCs w:val="1"/>
          <w:rtl w:val="0"/>
        </w:rPr>
        <w:t xml:space="preserve">chronic physical risks</w:t>
      </w:r>
      <w:r w:rsidDel="00000000" w:rsidR="00000000" w:rsidRPr="00000000">
        <w:rPr>
          <w:rtl w:val="0"/>
        </w:rPr>
        <w:t xml:space="preserve"> , such as sea level rise or persistent temperature changes)  </w:t>
      </w:r>
      <w:r w:rsidDel="00000000" w:rsidR="00000000" w:rsidRPr="00000000">
        <w:rPr>
          <w:i w:val="1"/>
          <w:iCs w:val="1"/>
          <w:rtl w:val="0"/>
        </w:rPr>
        <w:t xml:space="preserve">(AASB S2, Appendix A)</w:t>
      </w:r>
      <w:r w:rsidDel="00000000" w:rsidR="00000000" w:rsidRPr="00000000">
        <w:rPr>
          <w:rtl w:val="0"/>
        </w:rPr>
        <w:t xml:space="preserve"> .</w:t>
      </w:r>
    </w:p>
    <w:p w:rsidR="00000000" w:rsidDel="00000000" w:rsidP="00000000" w:rsidRDefault="00000000" w:rsidRPr="00000000" w14:paraId="00000080">
      <w:pPr>
        <w:numPr>
          <w:ilvl w:val="0"/>
          <w:numId w:val="7"/>
        </w:numPr>
        <w:ind w:left="720" w:hanging="360"/>
        <w:rPr>
          <w:u w:val="none"/>
        </w:rPr>
      </w:pPr>
      <w:r w:rsidDel="00000000" w:rsidR="00000000" w:rsidRPr="00000000">
        <w:rPr>
          <w:b w:val="1"/>
          <w:bCs w:val="1"/>
          <w:rtl w:val="0"/>
        </w:rPr>
        <w:t xml:space="preserve">Climate-related Transition Risks:</w:t>
      </w:r>
      <w:r w:rsidDel="00000000" w:rsidR="00000000" w:rsidRPr="00000000">
        <w:rPr>
          <w:rtl w:val="0"/>
        </w:rPr>
        <w:t xml:space="preserve">  Risks that arise from efforts to transition to a lower-carbon economy. These include policy, legal, technological, market, and reputational risks that carry financial implications such as asset impairment or increased operating costs  </w:t>
      </w:r>
      <w:r w:rsidDel="00000000" w:rsidR="00000000" w:rsidRPr="00000000">
        <w:rPr>
          <w:i w:val="1"/>
          <w:iCs w:val="1"/>
          <w:rtl w:val="0"/>
        </w:rPr>
        <w:t xml:space="preserve">(AASB S2, Appendix A)</w:t>
      </w:r>
      <w:r w:rsidDel="00000000" w:rsidR="00000000" w:rsidRPr="00000000">
        <w:rPr>
          <w:rtl w:val="0"/>
        </w:rPr>
        <w:t xml:space="preserve"> .</w:t>
      </w:r>
    </w:p>
    <w:p w:rsidR="00000000" w:rsidDel="00000000" w:rsidP="00000000" w:rsidRDefault="00000000" w:rsidRPr="00000000" w14:paraId="00000081">
      <w:pPr>
        <w:numPr>
          <w:ilvl w:val="0"/>
          <w:numId w:val="7"/>
        </w:numPr>
        <w:ind w:left="720" w:hanging="360"/>
        <w:rPr>
          <w:u w:val="none"/>
        </w:rPr>
      </w:pPr>
      <w:r w:rsidDel="00000000" w:rsidR="00000000" w:rsidRPr="00000000">
        <w:rPr>
          <w:b w:val="1"/>
          <w:bCs w:val="1"/>
          <w:rtl w:val="0"/>
        </w:rPr>
        <w:t xml:space="preserve">Climate-related Transition Plan:</w:t>
      </w:r>
      <w:r w:rsidDel="00000000" w:rsidR="00000000" w:rsidRPr="00000000">
        <w:rPr>
          <w:rtl w:val="0"/>
        </w:rPr>
        <w:t xml:space="preserve">  An aspect of an entity’s overall strategy that lays out the entity’s targets, actions, or resources for its transition towards a lower-carbon economy, including actions such as reducing its greenhouse gas emissions  </w:t>
      </w:r>
      <w:r w:rsidDel="00000000" w:rsidR="00000000" w:rsidRPr="00000000">
        <w:rPr>
          <w:i w:val="1"/>
          <w:iCs w:val="1"/>
          <w:rtl w:val="0"/>
        </w:rPr>
        <w:t xml:space="preserve">(AASB S2, Appendix A)</w:t>
      </w:r>
      <w:r w:rsidDel="00000000" w:rsidR="00000000" w:rsidRPr="00000000">
        <w:rPr>
          <w:rtl w:val="0"/>
        </w:rPr>
        <w:t xml:space="preserve"> .</w:t>
      </w:r>
    </w:p>
    <w:p w:rsidR="00000000" w:rsidDel="00000000" w:rsidP="00000000" w:rsidRDefault="00000000" w:rsidRPr="00000000" w14:paraId="00000082">
      <w:pPr>
        <w:numPr>
          <w:ilvl w:val="0"/>
          <w:numId w:val="7"/>
        </w:numPr>
        <w:ind w:left="720" w:hanging="360"/>
        <w:rPr>
          <w:u w:val="none"/>
        </w:rPr>
      </w:pPr>
      <w:r w:rsidDel="00000000" w:rsidR="00000000" w:rsidRPr="00000000">
        <w:rPr>
          <w:b w:val="1"/>
          <w:bCs w:val="1"/>
          <w:rtl w:val="0"/>
        </w:rPr>
        <w:t xml:space="preserve">CO2 Equivalent (</w:t>
      </w:r>
      <w:r w:rsidDel="00000000" w:rsidR="00000000" w:rsidRPr="00000000">
        <w:rPr>
          <w:rtl w:val="0"/>
        </w:rPr>
        <w:t xml:space="preserve">  </w:t>
      </w:r>
      <w:r w:rsidDel="00000000" w:rsidR="00000000" w:rsidRPr="00000000">
        <w:rPr>
          <w:b w:val="1"/>
          <w:bCs w:val="1"/>
          <w:rtl w:val="0"/>
        </w:rPr>
        <w:t xml:space="preserve">$CO_2 e</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The universal unit of measurement used to indicate the global warming potential (GWP) of each greenhouse gas, expressed in terms of the global warming potential of one unit of carbon dioxide  </w:t>
      </w:r>
      <w:r w:rsidDel="00000000" w:rsidR="00000000" w:rsidRPr="00000000">
        <w:rPr>
          <w:i w:val="1"/>
          <w:iCs w:val="1"/>
          <w:rtl w:val="0"/>
        </w:rPr>
        <w:t xml:space="preserve">(AASB S2, Appendix A)</w:t>
      </w:r>
      <w:r w:rsidDel="00000000" w:rsidR="00000000" w:rsidRPr="00000000">
        <w:rPr>
          <w:rtl w:val="0"/>
        </w:rPr>
        <w:t xml:space="preserve"> .</w:t>
      </w:r>
    </w:p>
    <w:p w:rsidR="00000000" w:rsidDel="00000000" w:rsidP="00000000" w:rsidRDefault="00000000" w:rsidRPr="00000000" w14:paraId="00000083">
      <w:pPr>
        <w:numPr>
          <w:ilvl w:val="0"/>
          <w:numId w:val="7"/>
        </w:numPr>
        <w:ind w:left="720" w:hanging="360"/>
        <w:rPr>
          <w:u w:val="none"/>
        </w:rPr>
      </w:pPr>
      <w:r w:rsidDel="00000000" w:rsidR="00000000" w:rsidRPr="00000000">
        <w:rPr>
          <w:b w:val="1"/>
          <w:bCs w:val="1"/>
          <w:rtl w:val="0"/>
        </w:rPr>
        <w:t xml:space="preserve">Financed Emissions:</w:t>
      </w:r>
      <w:r w:rsidDel="00000000" w:rsidR="00000000" w:rsidRPr="00000000">
        <w:rPr>
          <w:rtl w:val="0"/>
        </w:rPr>
        <w:t xml:space="preserve">  The portion of gross greenhouse gas emissions of an investee or counterparty attributed to the loans and investments made by an entity to that investee or counterparty. These are classified under Scope 3 Category 15 (Investments)  </w:t>
      </w:r>
      <w:r w:rsidDel="00000000" w:rsidR="00000000" w:rsidRPr="00000000">
        <w:rPr>
          <w:i w:val="1"/>
          <w:iCs w:val="1"/>
          <w:rtl w:val="0"/>
        </w:rPr>
        <w:t xml:space="preserve">(AASB S2, Appendix A)</w:t>
      </w:r>
      <w:r w:rsidDel="00000000" w:rsidR="00000000" w:rsidRPr="00000000">
        <w:rPr>
          <w:rtl w:val="0"/>
        </w:rPr>
        <w:t xml:space="preserve"> .</w:t>
      </w:r>
    </w:p>
    <w:p w:rsidR="00000000" w:rsidDel="00000000" w:rsidP="00000000" w:rsidRDefault="00000000" w:rsidRPr="00000000" w14:paraId="00000084">
      <w:pPr>
        <w:numPr>
          <w:ilvl w:val="0"/>
          <w:numId w:val="7"/>
        </w:numPr>
        <w:ind w:left="720" w:hanging="360"/>
        <w:rPr>
          <w:u w:val="none"/>
        </w:rPr>
      </w:pPr>
      <w:r w:rsidDel="00000000" w:rsidR="00000000" w:rsidRPr="00000000">
        <w:rPr>
          <w:b w:val="1"/>
          <w:bCs w:val="1"/>
          <w:rtl w:val="0"/>
        </w:rPr>
        <w:t xml:space="preserve">Internal Carbon Price:</w:t>
      </w:r>
      <w:r w:rsidDel="00000000" w:rsidR="00000000" w:rsidRPr="00000000">
        <w:rPr>
          <w:rtl w:val="0"/>
        </w:rPr>
        <w:t xml:space="preserve">  A price used by an entity to assess the financial implications of changes to investment, production, and consumption patterns, and of potential technological progress and future emissions-abatement costs. Common forms include a  </w:t>
      </w:r>
      <w:r w:rsidDel="00000000" w:rsidR="00000000" w:rsidRPr="00000000">
        <w:rPr>
          <w:i w:val="1"/>
          <w:iCs w:val="1"/>
          <w:rtl w:val="0"/>
        </w:rPr>
        <w:t xml:space="preserve">shadow price</w:t>
      </w:r>
      <w:r w:rsidDel="00000000" w:rsidR="00000000" w:rsidRPr="00000000">
        <w:rPr>
          <w:rtl w:val="0"/>
        </w:rPr>
        <w:t xml:space="preserve">  (a theoretical/notional cost used in project evaluations) or an  </w:t>
      </w:r>
      <w:r w:rsidDel="00000000" w:rsidR="00000000" w:rsidRPr="00000000">
        <w:rPr>
          <w:i w:val="1"/>
          <w:iCs w:val="1"/>
          <w:rtl w:val="0"/>
        </w:rPr>
        <w:t xml:space="preserve">internal tax/fee</w:t>
      </w:r>
      <w:r w:rsidDel="00000000" w:rsidR="00000000" w:rsidRPr="00000000">
        <w:rPr>
          <w:rtl w:val="0"/>
        </w:rPr>
        <w:t xml:space="preserve">  (a carbon charge billed to internal business units)  </w:t>
      </w:r>
      <w:r w:rsidDel="00000000" w:rsidR="00000000" w:rsidRPr="00000000">
        <w:rPr>
          <w:i w:val="1"/>
          <w:iCs w:val="1"/>
          <w:rtl w:val="0"/>
        </w:rPr>
        <w:t xml:space="preserve">(AASB S2, Appendix A)</w:t>
      </w:r>
      <w:r w:rsidDel="00000000" w:rsidR="00000000" w:rsidRPr="00000000">
        <w:rPr>
          <w:rtl w:val="0"/>
        </w:rPr>
        <w:t xml:space="preserve"> .</w:t>
      </w:r>
    </w:p>
    <w:p w:rsidR="00000000" w:rsidDel="00000000" w:rsidP="00000000" w:rsidRDefault="00000000" w:rsidRPr="00000000" w14:paraId="00000085">
      <w:pPr>
        <w:numPr>
          <w:ilvl w:val="0"/>
          <w:numId w:val="7"/>
        </w:numPr>
        <w:ind w:left="720" w:hanging="360"/>
        <w:rPr>
          <w:u w:val="none"/>
        </w:rPr>
      </w:pPr>
      <w:r w:rsidDel="00000000" w:rsidR="00000000" w:rsidRPr="00000000">
        <w:rPr>
          <w:b w:val="1"/>
          <w:bCs w:val="1"/>
          <w:rtl w:val="0"/>
        </w:rPr>
        <w:t xml:space="preserve">Primary Users of General Purpose Financial Reports:</w:t>
      </w:r>
      <w:r w:rsidDel="00000000" w:rsidR="00000000" w:rsidRPr="00000000">
        <w:rPr>
          <w:rtl w:val="0"/>
        </w:rPr>
        <w:t xml:space="preserve">  Existing and potential investors, lenders, and other creditors who rely on financial reports to make decisions regarding providing resources to the entity  </w:t>
      </w:r>
      <w:r w:rsidDel="00000000" w:rsidR="00000000" w:rsidRPr="00000000">
        <w:rPr>
          <w:i w:val="1"/>
          <w:iCs w:val="1"/>
          <w:rtl w:val="0"/>
        </w:rPr>
        <w:t xml:space="preserve">(AASB S2, Appendix A)</w:t>
      </w:r>
      <w:r w:rsidDel="00000000" w:rsidR="00000000" w:rsidRPr="00000000">
        <w:rPr>
          <w:rtl w:val="0"/>
        </w:rPr>
        <w:t xml:space="preserve"> .</w:t>
      </w:r>
    </w:p>
    <w:p w:rsidR="00000000" w:rsidDel="00000000" w:rsidP="00000000" w:rsidRDefault="00000000" w:rsidRPr="00000000" w14:paraId="00000086">
      <w:pPr>
        <w:numPr>
          <w:ilvl w:val="0"/>
          <w:numId w:val="7"/>
        </w:numPr>
        <w:ind w:left="720" w:hanging="360"/>
        <w:rPr>
          <w:u w:val="none"/>
        </w:rPr>
      </w:pPr>
      <w:r w:rsidDel="00000000" w:rsidR="00000000" w:rsidRPr="00000000">
        <w:rPr>
          <w:b w:val="1"/>
          <w:bCs w:val="1"/>
          <w:rtl w:val="0"/>
        </w:rPr>
        <w:t xml:space="preserve">Scope 1 Greenhouse Gas Emissions:</w:t>
      </w:r>
      <w:r w:rsidDel="00000000" w:rsidR="00000000" w:rsidRPr="00000000">
        <w:rPr>
          <w:rtl w:val="0"/>
        </w:rPr>
        <w:t xml:space="preserve">  Direct greenhouse gas emissions that occur from sources that are owned or controlled by the entity  </w:t>
      </w:r>
      <w:r w:rsidDel="00000000" w:rsidR="00000000" w:rsidRPr="00000000">
        <w:rPr>
          <w:i w:val="1"/>
          <w:iCs w:val="1"/>
          <w:rtl w:val="0"/>
        </w:rPr>
        <w:t xml:space="preserve">(AASB S2, Appendix A)</w:t>
      </w:r>
      <w:r w:rsidDel="00000000" w:rsidR="00000000" w:rsidRPr="00000000">
        <w:rPr>
          <w:rtl w:val="0"/>
        </w:rPr>
        <w:t xml:space="preserve"> .</w:t>
      </w:r>
    </w:p>
    <w:p w:rsidR="00000000" w:rsidDel="00000000" w:rsidP="00000000" w:rsidRDefault="00000000" w:rsidRPr="00000000" w14:paraId="00000087">
      <w:pPr>
        <w:numPr>
          <w:ilvl w:val="0"/>
          <w:numId w:val="7"/>
        </w:numPr>
        <w:ind w:left="720" w:hanging="360"/>
        <w:rPr>
          <w:u w:val="none"/>
        </w:rPr>
      </w:pPr>
      <w:r w:rsidDel="00000000" w:rsidR="00000000" w:rsidRPr="00000000">
        <w:rPr>
          <w:b w:val="1"/>
          <w:bCs w:val="1"/>
          <w:rtl w:val="0"/>
        </w:rPr>
        <w:t xml:space="preserve">Scope 2 Greenhouse Gas Emissions:</w:t>
      </w:r>
      <w:r w:rsidDel="00000000" w:rsidR="00000000" w:rsidRPr="00000000">
        <w:rPr>
          <w:rtl w:val="0"/>
        </w:rPr>
        <w:t xml:space="preserve">  Indirect greenhouse gas emissions from the generation of purchased or acquired electricity, steam, heating, or cooling consumed by the entity  </w:t>
      </w:r>
      <w:r w:rsidDel="00000000" w:rsidR="00000000" w:rsidRPr="00000000">
        <w:rPr>
          <w:i w:val="1"/>
          <w:iCs w:val="1"/>
          <w:rtl w:val="0"/>
        </w:rPr>
        <w:t xml:space="preserve">(AASB S2, Appendix A)</w:t>
      </w:r>
      <w:r w:rsidDel="00000000" w:rsidR="00000000" w:rsidRPr="00000000">
        <w:rPr>
          <w:rtl w:val="0"/>
        </w:rPr>
        <w:t xml:space="preserve"> .</w:t>
      </w:r>
    </w:p>
    <w:p w:rsidR="00000000" w:rsidDel="00000000" w:rsidP="00000000" w:rsidRDefault="00000000" w:rsidRPr="00000000" w14:paraId="00000088">
      <w:pPr>
        <w:numPr>
          <w:ilvl w:val="0"/>
          <w:numId w:val="7"/>
        </w:numPr>
        <w:ind w:left="720" w:hanging="360"/>
        <w:rPr>
          <w:u w:val="none"/>
        </w:rPr>
      </w:pPr>
      <w:r w:rsidDel="00000000" w:rsidR="00000000" w:rsidRPr="00000000">
        <w:rPr>
          <w:b w:val="1"/>
          <w:bCs w:val="1"/>
          <w:rtl w:val="0"/>
        </w:rPr>
        <w:t xml:space="preserve">Scope 3 Greenhouse Gas Emissions:</w:t>
      </w:r>
      <w:r w:rsidDel="00000000" w:rsidR="00000000" w:rsidRPr="00000000">
        <w:rPr>
          <w:rtl w:val="0"/>
        </w:rPr>
        <w:t xml:space="preserve">  Indirect greenhouse gas emissions (excluding Scope 2) that occur in the value chain of the reporting entity, encompassing both upstream and downstream activities across 15 standard categories  </w:t>
      </w:r>
      <w:r w:rsidDel="00000000" w:rsidR="00000000" w:rsidRPr="00000000">
        <w:rPr>
          <w:i w:val="1"/>
          <w:iCs w:val="1"/>
          <w:rtl w:val="0"/>
        </w:rPr>
        <w:t xml:space="preserve">(AASB S2, Appendix A &amp; SOURCE_IMAGE_1)</w:t>
      </w:r>
      <w:r w:rsidDel="00000000" w:rsidR="00000000" w:rsidRPr="00000000">
        <w:rPr>
          <w:rtl w:val="0"/>
        </w:rPr>
        <w:t xml:space="preserve"> .</w:t>
      </w:r>
    </w:p>
    <w:p w:rsidR="00000000" w:rsidDel="00000000" w:rsidP="00000000" w:rsidRDefault="00000000" w:rsidRPr="00000000" w14:paraId="00000089">
      <w:pPr>
        <w:pStyle w:val="Heading4"/>
        <w:rPr/>
      </w:pPr>
      <w:bookmarkStart w:colFirst="0" w:colLast="0" w:name="_tl6zqawvo6nq" w:id="17"/>
      <w:bookmarkEnd w:id="17"/>
      <w:r w:rsidDel="00000000" w:rsidR="00000000" w:rsidRPr="00000000">
        <w:rPr>
          <w:rtl w:val="0"/>
        </w:rPr>
        <w:t xml:space="preserve">Summary Reference Table: Scope 3 Value Chain Categories</w:t>
      </w:r>
    </w:p>
    <w:p w:rsidR="00000000" w:rsidDel="00000000" w:rsidP="00000000" w:rsidRDefault="00000000" w:rsidRPr="00000000" w14:paraId="0000008A">
      <w:pPr>
        <w:rPr/>
      </w:pPr>
      <w:r w:rsidDel="00000000" w:rsidR="00000000" w:rsidRPr="00000000">
        <w:rPr>
          <w:rtl w:val="0"/>
        </w:rPr>
        <w:t xml:space="preserve">For comprehensive exam preparation, students should memorize the 15 categories of Scope 3 emissions established under the GHG Protocol Corporate Value Chain Standard as referenced in AASB S2  </w:t>
      </w:r>
      <w:r w:rsidDel="00000000" w:rsidR="00000000" w:rsidRPr="00000000">
        <w:rPr>
          <w:i w:val="1"/>
          <w:iCs w:val="1"/>
          <w:rtl w:val="0"/>
        </w:rPr>
        <w:t xml:space="preserve">(Appendix A &amp; SOURCE_IMAGE_1)</w:t>
      </w:r>
      <w:r w:rsidDel="00000000" w:rsidR="00000000" w:rsidRPr="00000000">
        <w:rPr>
          <w:rtl w:val="0"/>
        </w:rPr>
        <w:t xml:space="preserve"> :| Direction | Category Number &amp; Name | Description / Exam Focus || ------ | ------ | ------ || </w:t>
      </w:r>
      <w:r w:rsidDel="00000000" w:rsidR="00000000" w:rsidRPr="00000000">
        <w:rPr>
          <w:b w:val="1"/>
          <w:bCs w:val="1"/>
          <w:rtl w:val="0"/>
        </w:rPr>
        <w:t xml:space="preserve">Upstream</w:t>
      </w:r>
      <w:r w:rsidDel="00000000" w:rsidR="00000000" w:rsidRPr="00000000">
        <w:rPr>
          <w:rtl w:val="0"/>
        </w:rPr>
        <w:t xml:space="preserve"> | (1) Purchased Goods &amp; Services | Extraction, production, and transportation of goods acquired. || </w:t>
      </w:r>
      <w:r w:rsidDel="00000000" w:rsidR="00000000" w:rsidRPr="00000000">
        <w:rPr>
          <w:b w:val="1"/>
          <w:bCs w:val="1"/>
          <w:rtl w:val="0"/>
        </w:rPr>
        <w:t xml:space="preserve">Upstream</w:t>
      </w:r>
      <w:r w:rsidDel="00000000" w:rsidR="00000000" w:rsidRPr="00000000">
        <w:rPr>
          <w:rtl w:val="0"/>
        </w:rPr>
        <w:t xml:space="preserve"> | (2) Capital Goods | Final goods with extended life used in manufacturing/operations. || </w:t>
      </w:r>
      <w:r w:rsidDel="00000000" w:rsidR="00000000" w:rsidRPr="00000000">
        <w:rPr>
          <w:b w:val="1"/>
          <w:bCs w:val="1"/>
          <w:rtl w:val="0"/>
        </w:rPr>
        <w:t xml:space="preserve">Upstream</w:t>
      </w:r>
      <w:r w:rsidDel="00000000" w:rsidR="00000000" w:rsidRPr="00000000">
        <w:rPr>
          <w:rtl w:val="0"/>
        </w:rPr>
        <w:t xml:space="preserve"> | (3) Fuel &amp; Energy-Related Activities | Upstream extraction/production of fuels/energy not in Scope 1/2. || </w:t>
      </w:r>
      <w:r w:rsidDel="00000000" w:rsidR="00000000" w:rsidRPr="00000000">
        <w:rPr>
          <w:b w:val="1"/>
          <w:bCs w:val="1"/>
          <w:rtl w:val="0"/>
        </w:rPr>
        <w:t xml:space="preserve">Upstream</w:t>
      </w:r>
      <w:r w:rsidDel="00000000" w:rsidR="00000000" w:rsidRPr="00000000">
        <w:rPr>
          <w:rtl w:val="0"/>
        </w:rPr>
        <w:t xml:space="preserve"> | (4) Upstream Transportation &amp; Distribution | Logistics services purchased by the reporting entity. || </w:t>
      </w:r>
      <w:r w:rsidDel="00000000" w:rsidR="00000000" w:rsidRPr="00000000">
        <w:rPr>
          <w:b w:val="1"/>
          <w:bCs w:val="1"/>
          <w:rtl w:val="0"/>
        </w:rPr>
        <w:t xml:space="preserve">Upstream</w:t>
      </w:r>
      <w:r w:rsidDel="00000000" w:rsidR="00000000" w:rsidRPr="00000000">
        <w:rPr>
          <w:rtl w:val="0"/>
        </w:rPr>
        <w:t xml:space="preserve"> | (5) Waste Generated in Operations | Disposal and treatment of operational waste. || </w:t>
      </w:r>
      <w:r w:rsidDel="00000000" w:rsidR="00000000" w:rsidRPr="00000000">
        <w:rPr>
          <w:b w:val="1"/>
          <w:bCs w:val="1"/>
          <w:rtl w:val="0"/>
        </w:rPr>
        <w:t xml:space="preserve">Upstream</w:t>
      </w:r>
      <w:r w:rsidDel="00000000" w:rsidR="00000000" w:rsidRPr="00000000">
        <w:rPr>
          <w:rtl w:val="0"/>
        </w:rPr>
        <w:t xml:space="preserve"> | (6) Business Travel | Transportation of employees for business-related activities. || </w:t>
      </w:r>
      <w:r w:rsidDel="00000000" w:rsidR="00000000" w:rsidRPr="00000000">
        <w:rPr>
          <w:b w:val="1"/>
          <w:bCs w:val="1"/>
          <w:rtl w:val="0"/>
        </w:rPr>
        <w:t xml:space="preserve">Upstream</w:t>
      </w:r>
      <w:r w:rsidDel="00000000" w:rsidR="00000000" w:rsidRPr="00000000">
        <w:rPr>
          <w:rtl w:val="0"/>
        </w:rPr>
        <w:t xml:space="preserve"> | (7) Employee Commuting | Travel of employees between homes and worksites. || </w:t>
      </w:r>
      <w:r w:rsidDel="00000000" w:rsidR="00000000" w:rsidRPr="00000000">
        <w:rPr>
          <w:b w:val="1"/>
          <w:bCs w:val="1"/>
          <w:rtl w:val="0"/>
        </w:rPr>
        <w:t xml:space="preserve">Upstream</w:t>
      </w:r>
      <w:r w:rsidDel="00000000" w:rsidR="00000000" w:rsidRPr="00000000">
        <w:rPr>
          <w:rtl w:val="0"/>
        </w:rPr>
        <w:t xml:space="preserve"> | (8) Upstream Leased Assets | Operation of assets leased by the reporting entity. || </w:t>
      </w:r>
      <w:r w:rsidDel="00000000" w:rsidR="00000000" w:rsidRPr="00000000">
        <w:rPr>
          <w:b w:val="1"/>
          <w:bCs w:val="1"/>
          <w:rtl w:val="0"/>
        </w:rPr>
        <w:t xml:space="preserve">Downstream</w:t>
      </w:r>
      <w:r w:rsidDel="00000000" w:rsidR="00000000" w:rsidRPr="00000000">
        <w:rPr>
          <w:rtl w:val="0"/>
        </w:rPr>
        <w:t xml:space="preserve"> | (9) Downstream Transportation | Logistics and distribution paid for by end customers. || </w:t>
      </w:r>
      <w:r w:rsidDel="00000000" w:rsidR="00000000" w:rsidRPr="00000000">
        <w:rPr>
          <w:b w:val="1"/>
          <w:bCs w:val="1"/>
          <w:rtl w:val="0"/>
        </w:rPr>
        <w:t xml:space="preserve">Downstream</w:t>
      </w:r>
      <w:r w:rsidDel="00000000" w:rsidR="00000000" w:rsidRPr="00000000">
        <w:rPr>
          <w:rtl w:val="0"/>
        </w:rPr>
        <w:t xml:space="preserve"> | (10) Processing of Sold Products | Intermediate processing of sold products by third parties. || </w:t>
      </w:r>
      <w:r w:rsidDel="00000000" w:rsidR="00000000" w:rsidRPr="00000000">
        <w:rPr>
          <w:b w:val="1"/>
          <w:bCs w:val="1"/>
          <w:rtl w:val="0"/>
        </w:rPr>
        <w:t xml:space="preserve">Downstream</w:t>
      </w:r>
      <w:r w:rsidDel="00000000" w:rsidR="00000000" w:rsidRPr="00000000">
        <w:rPr>
          <w:rtl w:val="0"/>
        </w:rPr>
        <w:t xml:space="preserve"> | (11) Use of Sold Products | End-use consumption of goods and services. || </w:t>
      </w:r>
      <w:r w:rsidDel="00000000" w:rsidR="00000000" w:rsidRPr="00000000">
        <w:rPr>
          <w:b w:val="1"/>
          <w:bCs w:val="1"/>
          <w:rtl w:val="0"/>
        </w:rPr>
        <w:t xml:space="preserve">Downstream</w:t>
      </w:r>
      <w:r w:rsidDel="00000000" w:rsidR="00000000" w:rsidRPr="00000000">
        <w:rPr>
          <w:rtl w:val="0"/>
        </w:rPr>
        <w:t xml:space="preserve"> | (12) End-of-Life Treatment | Waste disposal/recycling of products sold at end of life. || </w:t>
      </w:r>
      <w:r w:rsidDel="00000000" w:rsidR="00000000" w:rsidRPr="00000000">
        <w:rPr>
          <w:b w:val="1"/>
          <w:bCs w:val="1"/>
          <w:rtl w:val="0"/>
        </w:rPr>
        <w:t xml:space="preserve">Downstream</w:t>
      </w:r>
      <w:r w:rsidDel="00000000" w:rsidR="00000000" w:rsidRPr="00000000">
        <w:rPr>
          <w:rtl w:val="0"/>
        </w:rPr>
        <w:t xml:space="preserve"> | (13) Downstream Leased Assets | Operation of assets owned by entity and leased to others. || </w:t>
      </w:r>
      <w:r w:rsidDel="00000000" w:rsidR="00000000" w:rsidRPr="00000000">
        <w:rPr>
          <w:b w:val="1"/>
          <w:bCs w:val="1"/>
          <w:rtl w:val="0"/>
        </w:rPr>
        <w:t xml:space="preserve">Downstream</w:t>
      </w:r>
      <w:r w:rsidDel="00000000" w:rsidR="00000000" w:rsidRPr="00000000">
        <w:rPr>
          <w:rtl w:val="0"/>
        </w:rPr>
        <w:t xml:space="preserve"> | (14) Franchises | Operations of business entities operating under franchise. || </w:t>
      </w:r>
      <w:r w:rsidDel="00000000" w:rsidR="00000000" w:rsidRPr="00000000">
        <w:rPr>
          <w:b w:val="1"/>
          <w:bCs w:val="1"/>
          <w:rtl w:val="0"/>
        </w:rPr>
        <w:t xml:space="preserve">Downstream</w:t>
      </w:r>
      <w:r w:rsidDel="00000000" w:rsidR="00000000" w:rsidRPr="00000000">
        <w:rPr>
          <w:rtl w:val="0"/>
        </w:rPr>
        <w:t xml:space="preserve"> | (15) Investments | Financed emissions (mandatory for banks, insurers, asset managers). |</w:t>
      </w:r>
    </w:p>
    <w:p w:rsidR="00000000" w:rsidDel="00000000" w:rsidP="00000000" w:rsidRDefault="00000000" w:rsidRPr="00000000" w14:paraId="0000008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