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t>供应链金融平台</w:t>
      </w:r>
    </w:p>
    <w:p>
      <w:pPr>
        <w:spacing w:after="0"/>
      </w:pPr>
    </w:p>
    <w:p>
      <w:pPr>
        <w:pStyle w:val="Heading1"/>
      </w:pPr>
      <w:r>
        <w:t>项目功能实现与使用说明</w:t>
      </w:r>
    </w:p>
    <w:p>
      <w:pPr>
        <w:spacing w:after="0"/>
      </w:pPr>
    </w:p>
    <w:p>
      <w:pPr>
        <w:pStyle w:val="Heading2"/>
      </w:pPr>
      <w:r>
        <w:t>1. 项目概述</w:t>
      </w:r>
    </w:p>
    <w:p>
      <w:pPr>
        <w:spacing w:after="0"/>
      </w:pPr>
    </w:p>
    <w:p>
      <w:pPr>
        <w:ind w:firstLine="420"/>
      </w:pPr>
      <w:r>
        <w:t>本项目依据《第6次练习》中的供应链金融平台设计方案开发，是一个可以直接运行和演示的课程项目。系统围绕供应商、核心企业、金融机构和监管机构之间的协同业务，完成应收账款登记、核心企业确权、供应商融资申请、金融机构审批、风险评分、链上存证和监管审计等功能。</w:t>
      </w:r>
    </w:p>
    <w:p>
      <w:pPr>
        <w:spacing w:after="0"/>
      </w:pPr>
    </w:p>
    <w:p>
      <w:pPr>
        <w:ind w:firstLine="420"/>
      </w:pPr>
      <w:r>
        <w:t>项目采用“链下业务数据库 + 模拟联盟链账本”的实现方式：</w:t>
      </w:r>
    </w:p>
    <w:p>
      <w:pPr>
        <w:spacing w:after="0"/>
      </w:pPr>
    </w:p>
    <w:p>
      <w:pPr>
        <w:pStyle w:val="ListBullet"/>
      </w:pPr>
      <w:r>
        <w:t>SQLite 保存应收账款、融资申请等需要频繁查询和修改的业务数据；</w:t>
      </w:r>
    </w:p>
    <w:p>
      <w:pPr>
        <w:pStyle w:val="ListBullet"/>
      </w:pPr>
      <w:r>
        <w:rPr>
          <w:rFonts w:ascii="Consolas" w:hAnsi="Consolas" w:eastAsia="等线"/>
          <w:color w:val="1E694E"/>
        </w:rPr>
        <w:t>chain_events</w:t>
      </w:r>
      <w:r>
        <w:t xml:space="preserve"> 表以只追加、不覆盖的方式保存关键业务事件；</w:t>
      </w:r>
    </w:p>
    <w:p>
      <w:pPr>
        <w:pStyle w:val="ListBullet"/>
      </w:pPr>
      <w:r>
        <w:t>SHA-256 摘要、交易哈希和区块高度用于模拟真实联盟链中的存证信息；</w:t>
      </w:r>
    </w:p>
    <w:p>
      <w:pPr>
        <w:pStyle w:val="ListBullet"/>
      </w:pPr>
      <w:r>
        <w:t>FastAPI 提供后端接口并执行参数校验、权限判断和业务处理；</w:t>
      </w:r>
    </w:p>
    <w:p>
      <w:pPr>
        <w:pStyle w:val="ListBullet"/>
      </w:pPr>
      <w:r>
        <w:t>HTML、CSS 和 JavaScript 构成前端管理看板，通过接口动态加载数据。</w:t>
      </w:r>
    </w:p>
    <w:p>
      <w:pPr>
        <w:spacing w:after="0"/>
      </w:pPr>
    </w:p>
    <w:p>
      <w:pPr>
        <w:ind w:firstLine="420"/>
      </w:pPr>
      <w:r>
        <w:t>当前版本重点展示业务流程和区块链应用思路，不依赖真实区块链节点，因此适合本地运行、课堂演示和课程答辩。如果后续接入真实联盟链，只需替换链上写入函数，不需要重写主要业务流程。</w:t>
      </w:r>
    </w:p>
    <w:p>
      <w:pPr>
        <w:spacing w:after="0"/>
      </w:pPr>
    </w:p>
    <w:p>
      <w:pPr>
        <w:spacing w:after="0"/>
      </w:pPr>
    </w:p>
    <w:p>
      <w:pPr>
        <w:pStyle w:val="Heading1"/>
      </w:pPr>
      <w:r>
        <w:t>2. 项目目录说明</w:t>
      </w:r>
    </w:p>
    <w:p>
      <w:pPr>
        <w:spacing w:after="0"/>
      </w:pPr>
    </w:p>
    <w:p>
      <w:pPr>
        <w:spacing w:before="80" w:after="140"/>
        <w:ind w:left="340" w:right="227"/>
        <w:shd w:fill="F1F5F2"/>
      </w:pPr>
      <w:r>
        <w:rPr>
          <w:rFonts w:ascii="Consolas" w:hAnsi="Consolas" w:eastAsia="等线"/>
          <w:sz w:val="18"/>
        </w:rPr>
        <w:t>周三区块链/</w:t>
        <w:br/>
        <w:t>├─ app.py                         后端入口、数据模型、接口和业务逻辑</w:t>
        <w:br/>
        <w:t>├─ static/</w:t>
        <w:br/>
        <w:t>│  └─ index.html                  前端管理看板</w:t>
        <w:br/>
        <w:t>├─ requirements.txt               Python依赖清单</w:t>
        <w:br/>
        <w:t>├─ supply_chain.db                首次启动后生成的SQLite数据库</w:t>
        <w:br/>
        <w:t>├─ README.md                      简要运行说明</w:t>
        <w:br/>
        <w:t>└─ 项目功能实现与使用说明.md       本文档</w:t>
      </w:r>
    </w:p>
    <w:p>
      <w:pPr>
        <w:spacing w:after="0"/>
      </w:pPr>
    </w:p>
    <w:p>
      <w:pPr>
        <w:ind w:firstLine="420"/>
      </w:pPr>
      <w:r>
        <w:rPr>
          <w:rFonts w:ascii="Consolas" w:hAnsi="Consolas" w:eastAsia="等线"/>
          <w:color w:val="1E694E"/>
        </w:rPr>
        <w:t>app.py</w:t>
      </w:r>
      <w:r>
        <w:t xml:space="preserve"> 采用单文件结构，便于课程项目阅读和提交。正式生产项目可以继续拆分为 </w:t>
      </w:r>
      <w:r>
        <w:rPr>
          <w:rFonts w:ascii="Consolas" w:hAnsi="Consolas" w:eastAsia="等线"/>
          <w:color w:val="1E694E"/>
        </w:rPr>
        <w:t>models</w:t>
      </w:r>
      <w:r>
        <w:t>、</w:t>
      </w:r>
      <w:r>
        <w:rPr>
          <w:rFonts w:ascii="Consolas" w:hAnsi="Consolas" w:eastAsia="等线"/>
          <w:color w:val="1E694E"/>
        </w:rPr>
        <w:t>schemas</w:t>
      </w:r>
      <w:r>
        <w:t>、</w:t>
      </w:r>
      <w:r>
        <w:rPr>
          <w:rFonts w:ascii="Consolas" w:hAnsi="Consolas" w:eastAsia="等线"/>
          <w:color w:val="1E694E"/>
        </w:rPr>
        <w:t>services</w:t>
      </w:r>
      <w:r>
        <w:t>、</w:t>
      </w:r>
      <w:r>
        <w:rPr>
          <w:rFonts w:ascii="Consolas" w:hAnsi="Consolas" w:eastAsia="等线"/>
          <w:color w:val="1E694E"/>
        </w:rPr>
        <w:t>blockchain</w:t>
      </w:r>
      <w:r>
        <w:t xml:space="preserve"> 和 </w:t>
      </w:r>
      <w:r>
        <w:rPr>
          <w:rFonts w:ascii="Consolas" w:hAnsi="Consolas" w:eastAsia="等线"/>
          <w:color w:val="1E694E"/>
        </w:rPr>
        <w:t>api</w:t>
      </w:r>
      <w:r>
        <w:t xml:space="preserve"> 等模块。</w:t>
      </w:r>
    </w:p>
    <w:p>
      <w:pPr>
        <w:spacing w:after="0"/>
      </w:pPr>
    </w:p>
    <w:p>
      <w:pPr>
        <w:spacing w:after="0"/>
      </w:pPr>
    </w:p>
    <w:p>
      <w:pPr>
        <w:pStyle w:val="Heading1"/>
      </w:pPr>
      <w:r>
        <w:t>3. 技术架构</w:t>
      </w:r>
    </w:p>
    <w:p>
      <w:pPr>
        <w:spacing w:after="0"/>
      </w:pPr>
    </w:p>
    <w:p>
      <w:pPr>
        <w:pStyle w:val="Heading2"/>
      </w:pPr>
      <w:r>
        <w:t>3.1 表现层</w:t>
      </w:r>
    </w:p>
    <w:p>
      <w:pPr>
        <w:spacing w:after="0"/>
      </w:pPr>
    </w:p>
    <w:p>
      <w:pPr>
        <w:ind w:firstLine="420"/>
      </w:pPr>
      <w:r>
        <w:t xml:space="preserve">表现层位于 </w:t>
      </w:r>
      <w:r>
        <w:rPr>
          <w:rFonts w:ascii="Consolas" w:hAnsi="Consolas" w:eastAsia="等线"/>
          <w:color w:val="1E694E"/>
        </w:rPr>
        <w:t>static/index.html</w:t>
      </w:r>
      <w:r>
        <w:t xml:space="preserve">，负责展示业务总览、账款台账、融资申请和审计时间轴。页面不保存业务数据，所有数据均通过 </w:t>
      </w:r>
      <w:r>
        <w:rPr>
          <w:rFonts w:ascii="Consolas" w:hAnsi="Consolas" w:eastAsia="等线"/>
          <w:color w:val="1E694E"/>
        </w:rPr>
        <w:t>/api</w:t>
      </w:r>
      <w:r>
        <w:t xml:space="preserve"> 接口获取。</w:t>
      </w:r>
    </w:p>
    <w:p>
      <w:pPr>
        <w:spacing w:after="0"/>
      </w:pPr>
    </w:p>
    <w:p>
      <w:pPr>
        <w:ind w:firstLine="420"/>
      </w:pPr>
      <w:r>
        <w:t>页面主要使用以下技术：</w:t>
      </w:r>
    </w:p>
    <w:p>
      <w:pPr>
        <w:spacing w:after="0"/>
      </w:pPr>
    </w:p>
    <w:p>
      <w:pPr>
        <w:pStyle w:val="ListBullet"/>
      </w:pPr>
      <w:r>
        <w:t>HTML：定义看板、表格、表单和操作按钮；</w:t>
      </w:r>
    </w:p>
    <w:p>
      <w:pPr>
        <w:pStyle w:val="ListBullet"/>
      </w:pPr>
      <w:r>
        <w:t>CSS：实现响应式布局、状态标签、数据卡片和审计时间轴；</w:t>
      </w:r>
    </w:p>
    <w:p>
      <w:pPr>
        <w:pStyle w:val="ListBullet"/>
      </w:pPr>
      <w:r>
        <w:t>JavaScript Fetch API：向 FastAPI 后端发送请求；</w:t>
      </w:r>
    </w:p>
    <w:p>
      <w:pPr>
        <w:pStyle w:val="ListBullet"/>
      </w:pPr>
      <w:r>
        <w:t>DOM 操作：把接口返回的 JSON 数据动态渲染到页面。</w:t>
      </w:r>
    </w:p>
    <w:p>
      <w:pPr>
        <w:spacing w:after="0"/>
      </w:pPr>
    </w:p>
    <w:p>
      <w:pPr>
        <w:pStyle w:val="Heading2"/>
      </w:pPr>
      <w:r>
        <w:t>3.2 业务服务层</w:t>
      </w:r>
    </w:p>
    <w:p>
      <w:pPr>
        <w:spacing w:after="0"/>
      </w:pPr>
    </w:p>
    <w:p>
      <w:pPr>
        <w:ind w:firstLine="420"/>
      </w:pPr>
      <w:r>
        <w:t>FastAPI 是系统的业务入口，负责：</w:t>
      </w:r>
    </w:p>
    <w:p>
      <w:pPr>
        <w:spacing w:after="0"/>
      </w:pPr>
    </w:p>
    <w:p>
      <w:pPr>
        <w:pStyle w:val="ListNumber"/>
      </w:pPr>
      <w:r>
        <w:t>接收前端提交的数据；</w:t>
      </w:r>
    </w:p>
    <w:p>
      <w:pPr>
        <w:pStyle w:val="ListNumber"/>
      </w:pPr>
      <w:r>
        <w:t>使用 Pydantic 校验数据类型和取值范围；</w:t>
      </w:r>
    </w:p>
    <w:p>
      <w:pPr>
        <w:pStyle w:val="ListNumber"/>
      </w:pPr>
      <w:r>
        <w:t>根据当前角色判断是否有操作权限；</w:t>
      </w:r>
    </w:p>
    <w:p>
      <w:pPr>
        <w:pStyle w:val="ListNumber"/>
      </w:pPr>
      <w:r>
        <w:t>调用 SQLAlchemy 查询或更新数据库；</w:t>
      </w:r>
    </w:p>
    <w:p>
      <w:pPr>
        <w:pStyle w:val="ListNumber"/>
      </w:pPr>
      <w:r>
        <w:t>计算风险评分或生成哈希；</w:t>
      </w:r>
    </w:p>
    <w:p>
      <w:pPr>
        <w:pStyle w:val="ListNumber"/>
      </w:pPr>
      <w:r>
        <w:t>把关键业务事件写入模拟链上账本；</w:t>
      </w:r>
    </w:p>
    <w:p>
      <w:pPr>
        <w:pStyle w:val="ListNumber"/>
      </w:pPr>
      <w:r>
        <w:t>将处理结果以 JSON 返回前端。</w:t>
      </w:r>
    </w:p>
    <w:p>
      <w:pPr>
        <w:spacing w:after="0"/>
      </w:pPr>
    </w:p>
    <w:p>
      <w:pPr>
        <w:pStyle w:val="Heading2"/>
      </w:pPr>
      <w:r>
        <w:t>3.3 数据持久化层</w:t>
      </w:r>
    </w:p>
    <w:p>
      <w:pPr>
        <w:spacing w:after="0"/>
      </w:pPr>
    </w:p>
    <w:p>
      <w:pPr>
        <w:ind w:firstLine="420"/>
      </w:pPr>
      <w:r>
        <w:t>项目使用 SQLAlchemy ORM 操作 SQLite。</w:t>
      </w:r>
      <w:r>
        <w:rPr>
          <w:rFonts w:ascii="Consolas" w:hAnsi="Consolas" w:eastAsia="等线"/>
          <w:color w:val="1E694E"/>
        </w:rPr>
        <w:t>create_engine()</w:t>
      </w:r>
      <w:r>
        <w:t xml:space="preserve"> 创建数据库连接，</w:t>
      </w:r>
      <w:r>
        <w:rPr>
          <w:rFonts w:ascii="Consolas" w:hAnsi="Consolas" w:eastAsia="等线"/>
          <w:color w:val="1E694E"/>
        </w:rPr>
        <w:t>SessionLocal</w:t>
      </w:r>
      <w:r>
        <w:t xml:space="preserve"> 为每次请求提供独立会话，</w:t>
      </w:r>
      <w:r>
        <w:rPr>
          <w:rFonts w:ascii="Consolas" w:hAnsi="Consolas" w:eastAsia="等线"/>
          <w:color w:val="1E694E"/>
        </w:rPr>
        <w:t>db_session()</w:t>
      </w:r>
      <w:r>
        <w:t xml:space="preserve"> 在请求结束后自动关闭连接。</w:t>
      </w:r>
    </w:p>
    <w:p>
      <w:pPr>
        <w:spacing w:after="0"/>
      </w:pPr>
    </w:p>
    <w:p>
      <w:pPr>
        <w:ind w:firstLine="420"/>
      </w:pPr>
      <w:r>
        <w:t>首次加载程序时执行：</w:t>
      </w:r>
    </w:p>
    <w:p>
      <w:pPr>
        <w:spacing w:after="0"/>
      </w:pPr>
    </w:p>
    <w:p>
      <w:pPr>
        <w:spacing w:before="80" w:after="140"/>
        <w:ind w:left="340" w:right="227"/>
        <w:shd w:fill="F1F5F2"/>
      </w:pPr>
      <w:r>
        <w:rPr>
          <w:rFonts w:ascii="Consolas" w:hAnsi="Consolas" w:eastAsia="等线"/>
          <w:sz w:val="18"/>
        </w:rPr>
        <w:t>Base.metadata.create_all(engine)</w:t>
      </w:r>
    </w:p>
    <w:p>
      <w:pPr>
        <w:spacing w:after="0"/>
      </w:pPr>
    </w:p>
    <w:p>
      <w:pPr>
        <w:ind w:firstLine="420"/>
      </w:pPr>
      <w:r>
        <w:t xml:space="preserve">如果数据库不存在，SQLAlchemy 会自动创建数据库文件和数据表。程序还会执行 </w:t>
      </w:r>
      <w:r>
        <w:rPr>
          <w:rFonts w:ascii="Consolas" w:hAnsi="Consolas" w:eastAsia="等线"/>
          <w:color w:val="1E694E"/>
        </w:rPr>
        <w:t>seed()</w:t>
      </w:r>
      <w:r>
        <w:t>，加入一条已确权的演示账款，方便首次启动后立即体验融资和审计功能。</w:t>
      </w:r>
    </w:p>
    <w:p>
      <w:pPr>
        <w:spacing w:after="0"/>
      </w:pPr>
    </w:p>
    <w:p>
      <w:pPr>
        <w:pStyle w:val="Heading2"/>
      </w:pPr>
      <w:r>
        <w:t>3.4 区块链交互层</w:t>
      </w:r>
    </w:p>
    <w:p>
      <w:pPr>
        <w:spacing w:after="0"/>
      </w:pPr>
    </w:p>
    <w:p>
      <w:pPr>
        <w:ind w:firstLine="420"/>
      </w:pPr>
      <w:r>
        <w:t xml:space="preserve">当前项目不要求部署真实联盟链，而是通过 </w:t>
      </w:r>
      <w:r>
        <w:rPr>
          <w:rFonts w:ascii="Consolas" w:hAnsi="Consolas" w:eastAsia="等线"/>
          <w:color w:val="1E694E"/>
        </w:rPr>
        <w:t>chain_write()</w:t>
      </w:r>
      <w:r>
        <w:t xml:space="preserve"> 模拟链上交易。每次关键操作都会：</w:t>
      </w:r>
    </w:p>
    <w:p>
      <w:pPr>
        <w:spacing w:after="0"/>
      </w:pPr>
    </w:p>
    <w:p>
      <w:pPr>
        <w:pStyle w:val="ListNumber"/>
      </w:pPr>
      <w:r>
        <w:t>将业务参数转换为顺序稳定的 JSON；</w:t>
      </w:r>
    </w:p>
    <w:p>
      <w:pPr>
        <w:pStyle w:val="ListNumber"/>
      </w:pPr>
      <w:r>
        <w:t>对 JSON 计算 SHA-256 摘要；</w:t>
      </w:r>
    </w:p>
    <w:p>
      <w:pPr>
        <w:pStyle w:val="ListNumber"/>
      </w:pPr>
      <w:r>
        <w:t>根据业务编号、事件、操作人、时间和随机数生成交易哈希；</w:t>
      </w:r>
    </w:p>
    <w:p>
      <w:pPr>
        <w:pStyle w:val="ListNumber"/>
      </w:pPr>
      <w:r>
        <w:t>在当前最大区块高度上加一；</w:t>
      </w:r>
    </w:p>
    <w:p>
      <w:pPr>
        <w:pStyle w:val="ListNumber"/>
      </w:pPr>
      <w:r>
        <w:t xml:space="preserve">将事件追加到 </w:t>
      </w:r>
      <w:r>
        <w:rPr>
          <w:rFonts w:ascii="Consolas" w:hAnsi="Consolas" w:eastAsia="等线"/>
          <w:color w:val="1E694E"/>
        </w:rPr>
        <w:t>chain_events</w:t>
      </w:r>
      <w:r>
        <w:t xml:space="preserve"> 表。</w:t>
      </w:r>
    </w:p>
    <w:p>
      <w:pPr>
        <w:spacing w:after="0"/>
      </w:pPr>
    </w:p>
    <w:p>
      <w:pPr>
        <w:ind w:firstLine="420"/>
      </w:pPr>
      <w:r>
        <w:t>该设计体现了区块链“关键证据上链、业务明细链下保存”的思想，并避免将大文件直接写入区块链。</w:t>
      </w:r>
    </w:p>
    <w:p>
      <w:pPr>
        <w:spacing w:after="0"/>
      </w:pPr>
    </w:p>
    <w:p>
      <w:pPr>
        <w:spacing w:after="0"/>
      </w:pPr>
    </w:p>
    <w:p>
      <w:pPr>
        <w:pStyle w:val="Heading1"/>
      </w:pPr>
      <w:r>
        <w:t>4. 数据模型实现</w:t>
      </w:r>
    </w:p>
    <w:p>
      <w:pPr>
        <w:spacing w:after="0"/>
      </w:pPr>
    </w:p>
    <w:p>
      <w:pPr>
        <w:pStyle w:val="Heading2"/>
      </w:pPr>
      <w:r>
        <w:t>4.1 应收账款表 `receivables`</w:t>
      </w:r>
    </w:p>
    <w:p>
      <w:pPr>
        <w:spacing w:after="0"/>
      </w:pPr>
    </w:p>
    <w:p>
      <w:pPr>
        <w:ind w:firstLine="420"/>
      </w:pPr>
      <w:r>
        <w:t>该表保存供应链贸易形成的应收账款。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4759"/>
            <w:vAlign w:val="center"/>
            <w:shd w:fill="DCEDE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字段</w:t>
            </w:r>
          </w:p>
        </w:tc>
        <w:tc>
          <w:tcPr>
            <w:tcW w:type="dxa" w:w="4759"/>
            <w:vAlign w:val="center"/>
            <w:shd w:fill="DCEDE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asset_id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账款业务编号，如 </w:t>
            </w:r>
            <w:r>
              <w:rPr>
                <w:rFonts w:ascii="Consolas" w:hAnsi="Consolas" w:eastAsia="等线"/>
                <w:color w:val="1E694E"/>
                <w:sz w:val="18"/>
              </w:rPr>
              <w:t>AR202606001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supplier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供应商名称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core_enterprise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核心企业名称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amount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应收账款金额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due_date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到期日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contract_no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合同编号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file_hash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合同证据的SHA-256摘要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status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PENDING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等线"/>
                <w:color w:val="1E694E"/>
                <w:sz w:val="18"/>
              </w:rPr>
              <w:t>CONFIRMED</w:t>
            </w:r>
            <w:r>
              <w:rPr>
                <w:sz w:val="18"/>
              </w:rPr>
              <w:t xml:space="preserve"> 或 </w:t>
            </w:r>
            <w:r>
              <w:rPr>
                <w:rFonts w:ascii="Consolas" w:hAnsi="Consolas" w:eastAsia="等线"/>
                <w:color w:val="1E694E"/>
                <w:sz w:val="18"/>
              </w:rPr>
              <w:t>REJECTED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created_at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登记时间</w:t>
            </w:r>
          </w:p>
        </w:tc>
      </w:tr>
    </w:tbl>
    <w:p>
      <w:pPr>
        <w:spacing w:after="20"/>
      </w:pPr>
    </w:p>
    <w:p>
      <w:pPr>
        <w:spacing w:after="0"/>
      </w:pPr>
    </w:p>
    <w:p>
      <w:pPr>
        <w:ind w:firstLine="420"/>
      </w:pPr>
      <w:r>
        <w:t xml:space="preserve">账款刚登记时状态为 </w:t>
      </w:r>
      <w:r>
        <w:rPr>
          <w:rFonts w:ascii="Consolas" w:hAnsi="Consolas" w:eastAsia="等线"/>
          <w:color w:val="1E694E"/>
        </w:rPr>
        <w:t>PENDING</w:t>
      </w:r>
      <w:r>
        <w:t xml:space="preserve">，核心企业确认后变为 </w:t>
      </w:r>
      <w:r>
        <w:rPr>
          <w:rFonts w:ascii="Consolas" w:hAnsi="Consolas" w:eastAsia="等线"/>
          <w:color w:val="1E694E"/>
        </w:rPr>
        <w:t>CONFIRMED</w:t>
      </w:r>
      <w:r>
        <w:t xml:space="preserve">，驳回后变为 </w:t>
      </w:r>
      <w:r>
        <w:rPr>
          <w:rFonts w:ascii="Consolas" w:hAnsi="Consolas" w:eastAsia="等线"/>
          <w:color w:val="1E694E"/>
        </w:rPr>
        <w:t>REJECTED</w:t>
      </w:r>
      <w:r>
        <w:t>。只有已确权账款才能申请融资。</w:t>
      </w:r>
    </w:p>
    <w:p>
      <w:pPr>
        <w:spacing w:after="0"/>
      </w:pPr>
    </w:p>
    <w:p>
      <w:pPr>
        <w:pStyle w:val="Heading2"/>
      </w:pPr>
      <w:r>
        <w:t>4.2 融资申请表 `loans`</w:t>
      </w:r>
    </w:p>
    <w:p>
      <w:pPr>
        <w:spacing w:after="0"/>
      </w:pPr>
    </w:p>
    <w:p>
      <w:pPr>
        <w:ind w:firstLine="420"/>
      </w:pPr>
      <w:r>
        <w:t>该表保存供应商基于应收账款发起的融资申请。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4759"/>
            <w:vAlign w:val="center"/>
            <w:shd w:fill="DCEDE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字段</w:t>
            </w:r>
          </w:p>
        </w:tc>
        <w:tc>
          <w:tcPr>
            <w:tcW w:type="dxa" w:w="4759"/>
            <w:vAlign w:val="center"/>
            <w:shd w:fill="DCEDE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loan_id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融资申请编号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receivable_id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关联的应收账款主键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loan_amount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申请融资金额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risk_score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系统计算的风险评分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risk_level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低风险、中风险或高风险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status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APPLIED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等线"/>
                <w:color w:val="1E694E"/>
                <w:sz w:val="18"/>
              </w:rPr>
              <w:t>APPROVED</w:t>
            </w:r>
            <w:r>
              <w:rPr>
                <w:sz w:val="18"/>
              </w:rPr>
              <w:t xml:space="preserve"> 或 </w:t>
            </w:r>
            <w:r>
              <w:rPr>
                <w:rFonts w:ascii="Consolas" w:hAnsi="Consolas" w:eastAsia="等线"/>
                <w:color w:val="1E694E"/>
                <w:sz w:val="18"/>
              </w:rPr>
              <w:t>REJECTED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interest_rate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审批通过后的年化利率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created_at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申请时间</w:t>
            </w:r>
          </w:p>
        </w:tc>
      </w:tr>
    </w:tbl>
    <w:p>
      <w:pPr>
        <w:spacing w:after="20"/>
      </w:pPr>
    </w:p>
    <w:p>
      <w:pPr>
        <w:spacing w:after="0"/>
      </w:pPr>
    </w:p>
    <w:p>
      <w:pPr>
        <w:ind w:firstLine="420"/>
      </w:pPr>
      <w:r>
        <w:rPr>
          <w:rFonts w:ascii="Consolas" w:hAnsi="Consolas" w:eastAsia="等线"/>
          <w:color w:val="1E694E"/>
        </w:rPr>
        <w:t>Receivable</w:t>
      </w:r>
      <w:r>
        <w:t xml:space="preserve"> 与 </w:t>
      </w:r>
      <w:r>
        <w:rPr>
          <w:rFonts w:ascii="Consolas" w:hAnsi="Consolas" w:eastAsia="等线"/>
          <w:color w:val="1E694E"/>
        </w:rPr>
        <w:t>Loan</w:t>
      </w:r>
      <w:r>
        <w:t xml:space="preserve"> 通过外键和 ORM Relationship 建立一对多关系，一笔账款可以关联融资记录。</w:t>
      </w:r>
    </w:p>
    <w:p>
      <w:pPr>
        <w:spacing w:after="0"/>
      </w:pPr>
    </w:p>
    <w:p>
      <w:pPr>
        <w:pStyle w:val="Heading2"/>
      </w:pPr>
      <w:r>
        <w:t>4.3 链上事件表 `chain_events`</w:t>
      </w:r>
    </w:p>
    <w:p>
      <w:pPr>
        <w:spacing w:after="0"/>
      </w:pPr>
    </w:p>
    <w:p>
      <w:pPr>
        <w:ind w:firstLine="420"/>
      </w:pPr>
      <w:r>
        <w:t>该表模拟联盟链不可随意篡改的追加式账本。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4759"/>
            <w:vAlign w:val="center"/>
            <w:shd w:fill="DCEDE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字段</w:t>
            </w:r>
          </w:p>
        </w:tc>
        <w:tc>
          <w:tcPr>
            <w:tcW w:type="dxa" w:w="4759"/>
            <w:vAlign w:val="center"/>
            <w:shd w:fill="DCEDE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asset_id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事件关联的账款编号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event_type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登记、确权、融资申请或审批等事件类型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actor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操作机构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role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操作角色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payload_hash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业务参数摘要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tx_hash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模拟链上交易哈希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block_height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模拟区块高度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created_at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上链时间</w:t>
            </w:r>
          </w:p>
        </w:tc>
      </w:tr>
    </w:tbl>
    <w:p>
      <w:pPr>
        <w:spacing w:after="20"/>
      </w:pPr>
    </w:p>
    <w:p>
      <w:pPr>
        <w:spacing w:after="0"/>
      </w:pPr>
    </w:p>
    <w:p>
      <w:pPr>
        <w:ind w:firstLine="420"/>
      </w:pPr>
      <w:r>
        <w:t>每次业务变化产生一条新事件，旧事件不会被更新，因此可以按区块高度恢复完整业务轨迹。</w:t>
      </w:r>
    </w:p>
    <w:p>
      <w:pPr>
        <w:spacing w:after="0"/>
      </w:pPr>
    </w:p>
    <w:p>
      <w:pPr>
        <w:spacing w:after="0"/>
      </w:pPr>
    </w:p>
    <w:p>
      <w:pPr>
        <w:pStyle w:val="Heading1"/>
      </w:pPr>
      <w:r>
        <w:t>5. 身份与权限控制</w:t>
      </w:r>
    </w:p>
    <w:p>
      <w:pPr>
        <w:spacing w:after="0"/>
      </w:pPr>
    </w:p>
    <w:p>
      <w:pPr>
        <w:pStyle w:val="Heading2"/>
      </w:pPr>
      <w:r>
        <w:t>5.1 身份传递</w:t>
      </w:r>
    </w:p>
    <w:p>
      <w:pPr>
        <w:spacing w:after="0"/>
      </w:pPr>
    </w:p>
    <w:p>
      <w:pPr>
        <w:ind w:firstLine="420"/>
      </w:pPr>
      <w:r>
        <w:t>前端右上角提供“角色”和“当前机构”选择框。请求发送前，JavaScript 将角色和机构编码后放入请求头：</w:t>
      </w:r>
    </w:p>
    <w:p>
      <w:pPr>
        <w:spacing w:after="0"/>
      </w:pPr>
    </w:p>
    <w:p>
      <w:pPr>
        <w:spacing w:before="80" w:after="140"/>
        <w:ind w:left="340" w:right="227"/>
        <w:shd w:fill="F1F5F2"/>
      </w:pPr>
      <w:r>
        <w:rPr>
          <w:rFonts w:ascii="Consolas" w:hAnsi="Consolas" w:eastAsia="等线"/>
          <w:sz w:val="18"/>
        </w:rPr>
        <w:t>X-Role: 当前角色</w:t>
        <w:br/>
        <w:t>X-Actor: 当前机构</w:t>
      </w:r>
    </w:p>
    <w:p>
      <w:pPr>
        <w:spacing w:after="0"/>
      </w:pPr>
    </w:p>
    <w:p>
      <w:pPr>
        <w:ind w:firstLine="420"/>
      </w:pPr>
      <w:r>
        <w:t xml:space="preserve">后端 </w:t>
      </w:r>
      <w:r>
        <w:rPr>
          <w:rFonts w:ascii="Consolas" w:hAnsi="Consolas" w:eastAsia="等线"/>
          <w:color w:val="1E694E"/>
        </w:rPr>
        <w:t>identity()</w:t>
      </w:r>
      <w:r>
        <w:t xml:space="preserve"> 读取并解码请求头，</w:t>
      </w:r>
      <w:r>
        <w:rPr>
          <w:rFonts w:ascii="Consolas" w:hAnsi="Consolas" w:eastAsia="等线"/>
          <w:color w:val="1E694E"/>
        </w:rPr>
        <w:t>require()</w:t>
      </w:r>
      <w:r>
        <w:t xml:space="preserve"> 检查角色是否在允许列表中。未授权操作返回 HTTP 403，前端以提示消息展示错误原因。</w:t>
      </w:r>
    </w:p>
    <w:p>
      <w:pPr>
        <w:spacing w:after="0"/>
      </w:pPr>
    </w:p>
    <w:p>
      <w:pPr>
        <w:pStyle w:val="Heading2"/>
      </w:pPr>
      <w:r>
        <w:t>5.2 权限矩阵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4759"/>
            <w:vAlign w:val="center"/>
            <w:shd w:fill="DCEDE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角色</w:t>
            </w:r>
          </w:p>
        </w:tc>
        <w:tc>
          <w:tcPr>
            <w:tcW w:type="dxa" w:w="4759"/>
            <w:vAlign w:val="center"/>
            <w:shd w:fill="DCEDE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主要权限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供应商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登记账款；使用本企业已确权账款申请融资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核心企业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确认或驳回与本企业相关的账款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金融机构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审批融资申请并填写利率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监管机构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查询业务数据和链上审计轨迹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管理员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课堂演示所需的全部业务权限</w:t>
            </w:r>
          </w:p>
        </w:tc>
      </w:tr>
    </w:tbl>
    <w:p>
      <w:pPr>
        <w:spacing w:after="20"/>
      </w:pPr>
    </w:p>
    <w:p>
      <w:pPr>
        <w:spacing w:after="0"/>
      </w:pPr>
    </w:p>
    <w:p>
      <w:pPr>
        <w:ind w:firstLine="420"/>
      </w:pPr>
      <w:r>
        <w:t>系统不仅验证角色，也验证企业归属。例如，供应商不能使用其他供应商的账款融资，核心企业不能确认与自身无关的账款。</w:t>
      </w:r>
    </w:p>
    <w:p>
      <w:pPr>
        <w:spacing w:after="0"/>
      </w:pPr>
    </w:p>
    <w:p>
      <w:pPr>
        <w:ind w:firstLine="420"/>
      </w:pPr>
      <w:r>
        <w:t>当前实现使用演示请求头代替正式登录，便于课堂切换角色。生产环境应使用账号密码、JWT Token、密码哈希和持久化用户表。</w:t>
      </w:r>
    </w:p>
    <w:p>
      <w:pPr>
        <w:spacing w:after="0"/>
      </w:pPr>
    </w:p>
    <w:p>
      <w:pPr>
        <w:spacing w:after="0"/>
      </w:pPr>
    </w:p>
    <w:p>
      <w:pPr>
        <w:pStyle w:val="Heading1"/>
      </w:pPr>
      <w:r>
        <w:t>6. 功能实现详解</w:t>
      </w:r>
    </w:p>
    <w:p>
      <w:pPr>
        <w:spacing w:after="0"/>
      </w:pPr>
    </w:p>
    <w:p>
      <w:pPr>
        <w:pStyle w:val="Heading2"/>
      </w:pPr>
      <w:r>
        <w:t>6.1 业务总览</w:t>
      </w:r>
    </w:p>
    <w:p>
      <w:pPr>
        <w:spacing w:after="0"/>
      </w:pPr>
    </w:p>
    <w:p>
      <w:pPr>
        <w:ind w:firstLine="420"/>
      </w:pPr>
      <w:r>
        <w:t>页面启动后调用：</w:t>
      </w:r>
    </w:p>
    <w:p>
      <w:pPr>
        <w:spacing w:after="0"/>
      </w:pPr>
    </w:p>
    <w:p>
      <w:pPr>
        <w:spacing w:before="80" w:after="140"/>
        <w:ind w:left="340" w:right="227"/>
        <w:shd w:fill="F1F5F2"/>
      </w:pPr>
      <w:r>
        <w:rPr>
          <w:rFonts w:ascii="Consolas" w:hAnsi="Consolas" w:eastAsia="等线"/>
          <w:sz w:val="18"/>
        </w:rPr>
        <w:t>GET /api/dashboard</w:t>
      </w:r>
    </w:p>
    <w:p>
      <w:pPr>
        <w:spacing w:after="0"/>
      </w:pPr>
    </w:p>
    <w:p>
      <w:pPr>
        <w:ind w:firstLine="420"/>
      </w:pPr>
      <w:r>
        <w:t>后端统计并返回：</w:t>
      </w:r>
    </w:p>
    <w:p>
      <w:pPr>
        <w:spacing w:after="0"/>
      </w:pPr>
    </w:p>
    <w:p>
      <w:pPr>
        <w:pStyle w:val="ListBullet"/>
      </w:pPr>
      <w:r>
        <w:t>应收账款数量；</w:t>
      </w:r>
    </w:p>
    <w:p>
      <w:pPr>
        <w:pStyle w:val="ListBullet"/>
      </w:pPr>
      <w:r>
        <w:t>应收账款总金额；</w:t>
      </w:r>
    </w:p>
    <w:p>
      <w:pPr>
        <w:pStyle w:val="ListBullet"/>
      </w:pPr>
      <w:r>
        <w:t>未被拒绝的融资总金额；</w:t>
      </w:r>
    </w:p>
    <w:p>
      <w:pPr>
        <w:pStyle w:val="ListBullet"/>
      </w:pPr>
      <w:r>
        <w:t>链上事件总数；</w:t>
      </w:r>
    </w:p>
    <w:p>
      <w:pPr>
        <w:pStyle w:val="ListBullet"/>
      </w:pPr>
      <w:r>
        <w:t>最新账款、融资和链上事件列表。</w:t>
      </w:r>
    </w:p>
    <w:p>
      <w:pPr>
        <w:spacing w:after="0"/>
      </w:pPr>
    </w:p>
    <w:p>
      <w:pPr>
        <w:ind w:firstLine="420"/>
      </w:pPr>
      <w:r>
        <w:t xml:space="preserve">前端 </w:t>
      </w:r>
      <w:r>
        <w:rPr>
          <w:rFonts w:ascii="Consolas" w:hAnsi="Consolas" w:eastAsia="等线"/>
          <w:color w:val="1E694E"/>
        </w:rPr>
        <w:t>load()</w:t>
      </w:r>
      <w:r>
        <w:t xml:space="preserve"> 方法将结果写入顶部指标卡片和各业务表格。每次登记、确权、申请或审批完成后，页面都会重新调用该接口，使看板保持最新状态。</w:t>
      </w:r>
    </w:p>
    <w:p>
      <w:pPr>
        <w:spacing w:after="0"/>
      </w:pPr>
    </w:p>
    <w:p>
      <w:pPr>
        <w:pStyle w:val="Heading2"/>
      </w:pPr>
      <w:r>
        <w:t>6.2 应收账款登记</w:t>
      </w:r>
    </w:p>
    <w:p>
      <w:pPr>
        <w:spacing w:after="0"/>
      </w:pPr>
    </w:p>
    <w:p>
      <w:pPr>
        <w:ind w:firstLine="420"/>
      </w:pPr>
      <w:r>
        <w:t>供应商填写供应商名称、核心企业、账款金额、到期日和合同编号，页面调用：</w:t>
      </w:r>
    </w:p>
    <w:p>
      <w:pPr>
        <w:spacing w:after="0"/>
      </w:pPr>
    </w:p>
    <w:p>
      <w:pPr>
        <w:spacing w:before="80" w:after="140"/>
        <w:ind w:left="340" w:right="227"/>
        <w:shd w:fill="F1F5F2"/>
      </w:pPr>
      <w:r>
        <w:rPr>
          <w:rFonts w:ascii="Consolas" w:hAnsi="Consolas" w:eastAsia="等线"/>
          <w:sz w:val="18"/>
        </w:rPr>
        <w:t>POST /api/receivables</w:t>
      </w:r>
    </w:p>
    <w:p>
      <w:pPr>
        <w:spacing w:after="0"/>
      </w:pPr>
    </w:p>
    <w:p>
      <w:pPr>
        <w:ind w:firstLine="420"/>
      </w:pPr>
      <w:r>
        <w:t>后端处理流程：</w:t>
      </w:r>
    </w:p>
    <w:p>
      <w:pPr>
        <w:spacing w:after="0"/>
      </w:pPr>
    </w:p>
    <w:p>
      <w:pPr>
        <w:pStyle w:val="ListNumber"/>
      </w:pPr>
      <w:r>
        <w:t>验证角色必须是供应商或管理员；</w:t>
      </w:r>
    </w:p>
    <w:p>
      <w:pPr>
        <w:pStyle w:val="ListNumber"/>
      </w:pPr>
      <w:r>
        <w:t>验证金额大于零、到期日晚于今天；</w:t>
      </w:r>
    </w:p>
    <w:p>
      <w:pPr>
        <w:pStyle w:val="ListNumber"/>
      </w:pPr>
      <w:r>
        <w:t xml:space="preserve">生成以 </w:t>
      </w:r>
      <w:r>
        <w:rPr>
          <w:rFonts w:ascii="Consolas" w:hAnsi="Consolas" w:eastAsia="等线"/>
          <w:color w:val="1E694E"/>
        </w:rPr>
        <w:t>AR</w:t>
      </w:r>
      <w:r>
        <w:t xml:space="preserve"> 开头的唯一账款编号；</w:t>
      </w:r>
    </w:p>
    <w:p>
      <w:pPr>
        <w:pStyle w:val="ListNumber"/>
      </w:pPr>
      <w:r>
        <w:t>使用合同编号、供应商和金额计算文件摘要；</w:t>
      </w:r>
    </w:p>
    <w:p>
      <w:pPr>
        <w:pStyle w:val="ListNumber"/>
      </w:pPr>
      <w:r>
        <w:t xml:space="preserve">将账款以 </w:t>
      </w:r>
      <w:r>
        <w:rPr>
          <w:rFonts w:ascii="Consolas" w:hAnsi="Consolas" w:eastAsia="等线"/>
          <w:color w:val="1E694E"/>
        </w:rPr>
        <w:t>PENDING</w:t>
      </w:r>
      <w:r>
        <w:t xml:space="preserve"> 状态写入数据库；</w:t>
      </w:r>
    </w:p>
    <w:p>
      <w:pPr>
        <w:pStyle w:val="ListNumber"/>
      </w:pPr>
      <w:r>
        <w:t xml:space="preserve">写入 </w:t>
      </w:r>
      <w:r>
        <w:rPr>
          <w:rFonts w:ascii="Consolas" w:hAnsi="Consolas" w:eastAsia="等线"/>
          <w:color w:val="1E694E"/>
        </w:rPr>
        <w:t>RECEIVABLE_REGISTERED</w:t>
      </w:r>
      <w:r>
        <w:t xml:space="preserve"> 链上事件；</w:t>
      </w:r>
    </w:p>
    <w:p>
      <w:pPr>
        <w:pStyle w:val="ListNumber"/>
      </w:pPr>
      <w:r>
        <w:t>同时提交业务记录和链上事件，保证数据一致性。</w:t>
      </w:r>
    </w:p>
    <w:p>
      <w:pPr>
        <w:spacing w:after="0"/>
      </w:pPr>
    </w:p>
    <w:p>
      <w:pPr>
        <w:ind w:firstLine="420"/>
      </w:pPr>
      <w:r>
        <w:t>课程演示中没有真正上传合同文件，因此使用合同关键信息生成摘要。接入文件上传后，可直接对文件二进制内容计算 SHA-256，链上仍只保存摘要。</w:t>
      </w:r>
    </w:p>
    <w:p>
      <w:pPr>
        <w:spacing w:after="0"/>
      </w:pPr>
    </w:p>
    <w:p>
      <w:pPr>
        <w:pStyle w:val="Heading2"/>
      </w:pPr>
      <w:r>
        <w:t>6.3 核心企业确权</w:t>
      </w:r>
    </w:p>
    <w:p>
      <w:pPr>
        <w:spacing w:after="0"/>
      </w:pPr>
    </w:p>
    <w:p>
      <w:pPr>
        <w:ind w:firstLine="420"/>
      </w:pPr>
      <w:r>
        <w:t>核心企业在待确权账款后点击“确权”或“驳回”，页面调用：</w:t>
      </w:r>
    </w:p>
    <w:p>
      <w:pPr>
        <w:spacing w:after="0"/>
      </w:pPr>
    </w:p>
    <w:p>
      <w:pPr>
        <w:spacing w:before="80" w:after="140"/>
        <w:ind w:left="340" w:right="227"/>
        <w:shd w:fill="F1F5F2"/>
      </w:pPr>
      <w:r>
        <w:rPr>
          <w:rFonts w:ascii="Consolas" w:hAnsi="Consolas" w:eastAsia="等线"/>
          <w:sz w:val="18"/>
        </w:rPr>
        <w:t>POST /api/receivables/{asset_id}/confirm</w:t>
      </w:r>
    </w:p>
    <w:p>
      <w:pPr>
        <w:spacing w:after="0"/>
      </w:pPr>
    </w:p>
    <w:p>
      <w:pPr>
        <w:ind w:firstLine="420"/>
      </w:pPr>
      <w:r>
        <w:t xml:space="preserve">后端首先查询账款，然后判断当前核心企业是否与账款中的核心企业一致。确权后状态变为 </w:t>
      </w:r>
      <w:r>
        <w:rPr>
          <w:rFonts w:ascii="Consolas" w:hAnsi="Consolas" w:eastAsia="等线"/>
          <w:color w:val="1E694E"/>
        </w:rPr>
        <w:t>CONFIRMED</w:t>
      </w:r>
      <w:r>
        <w:t xml:space="preserve">，驳回后状态变为 </w:t>
      </w:r>
      <w:r>
        <w:rPr>
          <w:rFonts w:ascii="Consolas" w:hAnsi="Consolas" w:eastAsia="等线"/>
          <w:color w:val="1E694E"/>
        </w:rPr>
        <w:t>REJECTED</w:t>
      </w:r>
      <w:r>
        <w:t>，同时产生对应链上事件。</w:t>
      </w:r>
    </w:p>
    <w:p>
      <w:pPr>
        <w:spacing w:after="0"/>
      </w:pPr>
    </w:p>
    <w:p>
      <w:pPr>
        <w:ind w:firstLine="420"/>
      </w:pPr>
      <w:r>
        <w:t>确权的业务意义是核心企业确认贸易背景、账款金额和付款义务真实存在。金融机构只有在该步骤完成后才接受融资申请。</w:t>
      </w:r>
    </w:p>
    <w:p>
      <w:pPr>
        <w:spacing w:after="0"/>
      </w:pPr>
    </w:p>
    <w:p>
      <w:pPr>
        <w:pStyle w:val="Heading2"/>
      </w:pPr>
      <w:r>
        <w:t>6.4 融资申请和风险评分</w:t>
      </w:r>
    </w:p>
    <w:p>
      <w:pPr>
        <w:spacing w:after="0"/>
      </w:pPr>
    </w:p>
    <w:p>
      <w:pPr>
        <w:ind w:firstLine="420"/>
      </w:pPr>
      <w:r>
        <w:t>供应商从已确权账款中选择一笔，输入融资金额后调用：</w:t>
      </w:r>
    </w:p>
    <w:p>
      <w:pPr>
        <w:spacing w:after="0"/>
      </w:pPr>
    </w:p>
    <w:p>
      <w:pPr>
        <w:spacing w:before="80" w:after="140"/>
        <w:ind w:left="340" w:right="227"/>
        <w:shd w:fill="F1F5F2"/>
      </w:pPr>
      <w:r>
        <w:rPr>
          <w:rFonts w:ascii="Consolas" w:hAnsi="Consolas" w:eastAsia="等线"/>
          <w:sz w:val="18"/>
        </w:rPr>
        <w:t>POST /api/loans/apply</w:t>
      </w:r>
    </w:p>
    <w:p>
      <w:pPr>
        <w:spacing w:after="0"/>
      </w:pPr>
    </w:p>
    <w:p>
      <w:pPr>
        <w:ind w:firstLine="420"/>
      </w:pPr>
      <w:r>
        <w:t>系统依次检查：</w:t>
      </w:r>
    </w:p>
    <w:p>
      <w:pPr>
        <w:spacing w:after="0"/>
      </w:pPr>
    </w:p>
    <w:p>
      <w:pPr>
        <w:pStyle w:val="ListBullet"/>
      </w:pPr>
      <w:r>
        <w:t>账款是否存在；</w:t>
      </w:r>
    </w:p>
    <w:p>
      <w:pPr>
        <w:pStyle w:val="ListBullet"/>
      </w:pPr>
      <w:r>
        <w:t>是否属于当前供应商；</w:t>
      </w:r>
    </w:p>
    <w:p>
      <w:pPr>
        <w:pStyle w:val="ListBullet"/>
      </w:pPr>
      <w:r>
        <w:t>融资金额是否超过账款金额；</w:t>
      </w:r>
    </w:p>
    <w:p>
      <w:pPr>
        <w:pStyle w:val="ListBullet"/>
      </w:pPr>
      <w:r>
        <w:t>账款是否已完成核心企业确权。</w:t>
      </w:r>
    </w:p>
    <w:p>
      <w:pPr>
        <w:spacing w:after="0"/>
      </w:pPr>
    </w:p>
    <w:p>
      <w:pPr>
        <w:ind w:firstLine="420"/>
      </w:pPr>
      <w:r>
        <w:t>检查通过后，</w:t>
      </w:r>
      <w:r>
        <w:rPr>
          <w:rFonts w:ascii="Consolas" w:hAnsi="Consolas" w:eastAsia="等线"/>
          <w:color w:val="1E694E"/>
        </w:rPr>
        <w:t>risk_for()</w:t>
      </w:r>
      <w:r>
        <w:t xml:space="preserve"> 根据账款剩余期限、融资金额占账款比例和确权状态计算评分。基础分为 88 分：</w:t>
      </w:r>
    </w:p>
    <w:p>
      <w:pPr>
        <w:spacing w:after="0"/>
      </w:pPr>
    </w:p>
    <w:p>
      <w:pPr>
        <w:pStyle w:val="ListBullet"/>
      </w:pPr>
      <w:r>
        <w:t>距到期日不足30天扣18分；</w:t>
      </w:r>
    </w:p>
    <w:p>
      <w:pPr>
        <w:pStyle w:val="ListBullet"/>
      </w:pPr>
      <w:r>
        <w:t>距到期日30至89天扣8分；</w:t>
      </w:r>
    </w:p>
    <w:p>
      <w:pPr>
        <w:pStyle w:val="ListBullet"/>
      </w:pPr>
      <w:r>
        <w:t>融资比例超过80%扣16分；</w:t>
      </w:r>
    </w:p>
    <w:p>
      <w:pPr>
        <w:pStyle w:val="ListBullet"/>
      </w:pPr>
      <w:r>
        <w:t>融资比例超过60%但不超过80%扣7分；</w:t>
      </w:r>
    </w:p>
    <w:p>
      <w:pPr>
        <w:pStyle w:val="ListBullet"/>
      </w:pPr>
      <w:r>
        <w:t>未确权扣30分。</w:t>
      </w:r>
    </w:p>
    <w:p>
      <w:pPr>
        <w:spacing w:after="0"/>
      </w:pPr>
    </w:p>
    <w:p>
      <w:pPr>
        <w:ind w:firstLine="420"/>
      </w:pPr>
      <w:r>
        <w:t>评分结果限制在 0 至 100 分，并按以下规则划分风险：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4759"/>
            <w:vAlign w:val="center"/>
            <w:shd w:fill="DCEDE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分数</w:t>
            </w:r>
          </w:p>
        </w:tc>
        <w:tc>
          <w:tcPr>
            <w:tcW w:type="dxa" w:w="4759"/>
            <w:vAlign w:val="center"/>
            <w:shd w:fill="DCEDE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风险等级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75—100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低风险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55—74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中风险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0—54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高风险</w:t>
            </w:r>
          </w:p>
        </w:tc>
      </w:tr>
    </w:tbl>
    <w:p>
      <w:pPr>
        <w:spacing w:after="20"/>
      </w:pPr>
    </w:p>
    <w:p>
      <w:pPr>
        <w:spacing w:after="0"/>
      </w:pPr>
    </w:p>
    <w:p>
      <w:pPr>
        <w:ind w:firstLine="420"/>
      </w:pPr>
      <w:r>
        <w:t xml:space="preserve">融资申请保存后产生 </w:t>
      </w:r>
      <w:r>
        <w:rPr>
          <w:rFonts w:ascii="Consolas" w:hAnsi="Consolas" w:eastAsia="等线"/>
          <w:color w:val="1E694E"/>
        </w:rPr>
        <w:t>FINANCING_APPLIED</w:t>
      </w:r>
      <w:r>
        <w:t xml:space="preserve"> 事件，评分与风险等级也进入事件摘要，从而证明审批时使用的风险结果。</w:t>
      </w:r>
    </w:p>
    <w:p>
      <w:pPr>
        <w:spacing w:after="0"/>
      </w:pPr>
    </w:p>
    <w:p>
      <w:pPr>
        <w:ind w:firstLine="420"/>
      </w:pPr>
      <w:r>
        <w:t>该模型属于可解释的规则评分，适合课程项目。积累真实历史数据后，可以加入付款及时率、历史违约率、三单匹配度和异常金额波动等指标，或使用 Scikit-learn 训练机器学习模型。</w:t>
      </w:r>
    </w:p>
    <w:p>
      <w:pPr>
        <w:spacing w:after="0"/>
      </w:pPr>
    </w:p>
    <w:p>
      <w:pPr>
        <w:pStyle w:val="Heading2"/>
      </w:pPr>
      <w:r>
        <w:t>6.5 金融机构审批</w:t>
      </w:r>
    </w:p>
    <w:p>
      <w:pPr>
        <w:spacing w:after="0"/>
      </w:pPr>
    </w:p>
    <w:p>
      <w:pPr>
        <w:ind w:firstLine="420"/>
      </w:pPr>
      <w:r>
        <w:t>金融机构进入“融资审批”页，对待审批申请点击“通过”或“拒绝”。通过时输入年化利率，页面调用：</w:t>
      </w:r>
    </w:p>
    <w:p>
      <w:pPr>
        <w:spacing w:after="0"/>
      </w:pPr>
    </w:p>
    <w:p>
      <w:pPr>
        <w:spacing w:before="80" w:after="140"/>
        <w:ind w:left="340" w:right="227"/>
        <w:shd w:fill="F1F5F2"/>
      </w:pPr>
      <w:r>
        <w:rPr>
          <w:rFonts w:ascii="Consolas" w:hAnsi="Consolas" w:eastAsia="等线"/>
          <w:sz w:val="18"/>
        </w:rPr>
        <w:t>POST /api/loans/{loan_id}/approve</w:t>
      </w:r>
    </w:p>
    <w:p>
      <w:pPr>
        <w:spacing w:after="0"/>
      </w:pPr>
    </w:p>
    <w:p>
      <w:pPr>
        <w:ind w:firstLine="420"/>
      </w:pPr>
      <w:r>
        <w:t xml:space="preserve">后端验证角色和融资申请是否存在。审批通过但没有填写利率时返回错误；通过后状态变为 </w:t>
      </w:r>
      <w:r>
        <w:rPr>
          <w:rFonts w:ascii="Consolas" w:hAnsi="Consolas" w:eastAsia="等线"/>
          <w:color w:val="1E694E"/>
        </w:rPr>
        <w:t>APPROVED</w:t>
      </w:r>
      <w:r>
        <w:t xml:space="preserve">，拒绝后变为 </w:t>
      </w:r>
      <w:r>
        <w:rPr>
          <w:rFonts w:ascii="Consolas" w:hAnsi="Consolas" w:eastAsia="等线"/>
          <w:color w:val="1E694E"/>
        </w:rPr>
        <w:t>REJECTED</w:t>
      </w:r>
      <w:r>
        <w:t xml:space="preserve">。审批结果通过 </w:t>
      </w:r>
      <w:r>
        <w:rPr>
          <w:rFonts w:ascii="Consolas" w:hAnsi="Consolas" w:eastAsia="等线"/>
          <w:color w:val="1E694E"/>
        </w:rPr>
        <w:t>FINANCING_APPROVED</w:t>
      </w:r>
      <w:r>
        <w:t xml:space="preserve"> 或 </w:t>
      </w:r>
      <w:r>
        <w:rPr>
          <w:rFonts w:ascii="Consolas" w:hAnsi="Consolas" w:eastAsia="等线"/>
          <w:color w:val="1E694E"/>
        </w:rPr>
        <w:t>FINANCING_REJECTED</w:t>
      </w:r>
      <w:r>
        <w:t xml:space="preserve"> 事件写入模拟链上账本。</w:t>
      </w:r>
    </w:p>
    <w:p>
      <w:pPr>
        <w:spacing w:after="0"/>
      </w:pPr>
    </w:p>
    <w:p>
      <w:pPr>
        <w:pStyle w:val="Heading2"/>
      </w:pPr>
      <w:r>
        <w:t>6.6 链上审计</w:t>
      </w:r>
    </w:p>
    <w:p>
      <w:pPr>
        <w:spacing w:after="0"/>
      </w:pPr>
    </w:p>
    <w:p>
      <w:pPr>
        <w:ind w:firstLine="420"/>
      </w:pPr>
      <w:r>
        <w:t>监管人员选择账款编号并点击“查询轨迹”，页面调用：</w:t>
      </w:r>
    </w:p>
    <w:p>
      <w:pPr>
        <w:spacing w:after="0"/>
      </w:pPr>
    </w:p>
    <w:p>
      <w:pPr>
        <w:spacing w:before="80" w:after="140"/>
        <w:ind w:left="340" w:right="227"/>
        <w:shd w:fill="F1F5F2"/>
      </w:pPr>
      <w:r>
        <w:rPr>
          <w:rFonts w:ascii="Consolas" w:hAnsi="Consolas" w:eastAsia="等线"/>
          <w:sz w:val="18"/>
        </w:rPr>
        <w:t>GET /api/audit/{asset_id}</w:t>
      </w:r>
    </w:p>
    <w:p>
      <w:pPr>
        <w:spacing w:after="0"/>
      </w:pPr>
    </w:p>
    <w:p>
      <w:pPr>
        <w:ind w:firstLine="420"/>
      </w:pPr>
      <w:r>
        <w:t xml:space="preserve">后端返回账款当前状态以及按区块高度升序排列的全部事件。系统同时检查每条事件是否具有格式正确的 SHA-256 摘要，并返回 </w:t>
      </w:r>
      <w:r>
        <w:rPr>
          <w:rFonts w:ascii="Consolas" w:hAnsi="Consolas" w:eastAsia="等线"/>
          <w:color w:val="1E694E"/>
        </w:rPr>
        <w:t>chain_valid</w:t>
      </w:r>
      <w:r>
        <w:t xml:space="preserve"> 校验结果。</w:t>
      </w:r>
    </w:p>
    <w:p>
      <w:pPr>
        <w:spacing w:after="0"/>
      </w:pPr>
    </w:p>
    <w:p>
      <w:pPr>
        <w:ind w:firstLine="420"/>
      </w:pPr>
      <w:r>
        <w:t>前端将结果显示为时间轴，包含：</w:t>
      </w:r>
    </w:p>
    <w:p>
      <w:pPr>
        <w:spacing w:after="0"/>
      </w:pPr>
    </w:p>
    <w:p>
      <w:pPr>
        <w:pStyle w:val="ListBullet"/>
      </w:pPr>
      <w:r>
        <w:t>事件类型；</w:t>
      </w:r>
    </w:p>
    <w:p>
      <w:pPr>
        <w:pStyle w:val="ListBullet"/>
      </w:pPr>
      <w:r>
        <w:t>区块高度；</w:t>
      </w:r>
    </w:p>
    <w:p>
      <w:pPr>
        <w:pStyle w:val="ListBullet"/>
      </w:pPr>
      <w:r>
        <w:t>操作机构和角色；</w:t>
      </w:r>
    </w:p>
    <w:p>
      <w:pPr>
        <w:pStyle w:val="ListBullet"/>
      </w:pPr>
      <w:r>
        <w:t>操作时间；</w:t>
      </w:r>
    </w:p>
    <w:p>
      <w:pPr>
        <w:pStyle w:val="ListBullet"/>
      </w:pPr>
      <w:r>
        <w:t>交易哈希。</w:t>
      </w:r>
    </w:p>
    <w:p>
      <w:pPr>
        <w:spacing w:after="0"/>
      </w:pPr>
    </w:p>
    <w:p>
      <w:pPr>
        <w:ind w:firstLine="420"/>
      </w:pPr>
      <w:r>
        <w:t>监管机构由此可以从账款登记开始，查看确权、融资申请和审批的完整轨迹，实现穿透式审计。</w:t>
      </w:r>
    </w:p>
    <w:p>
      <w:pPr>
        <w:spacing w:after="0"/>
      </w:pPr>
    </w:p>
    <w:p>
      <w:pPr>
        <w:spacing w:after="0"/>
      </w:pPr>
    </w:p>
    <w:p>
      <w:pPr>
        <w:pStyle w:val="Heading1"/>
      </w:pPr>
      <w:r>
        <w:t>7. 接口清单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3173"/>
            <w:vAlign w:val="center"/>
            <w:shd w:fill="DCEDE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接口</w:t>
            </w:r>
          </w:p>
        </w:tc>
        <w:tc>
          <w:tcPr>
            <w:tcW w:type="dxa" w:w="3173"/>
            <w:vAlign w:val="center"/>
            <w:shd w:fill="DCEDE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方法</w:t>
            </w:r>
          </w:p>
        </w:tc>
        <w:tc>
          <w:tcPr>
            <w:tcW w:type="dxa" w:w="3173"/>
            <w:vAlign w:val="center"/>
            <w:shd w:fill="DCEDE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/</w:t>
            </w:r>
          </w:p>
        </w:tc>
        <w:tc>
          <w:tcPr>
            <w:tcW w:type="dxa" w:w="317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17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返回平台管理页面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/api/dashboard</w:t>
            </w:r>
          </w:p>
        </w:tc>
        <w:tc>
          <w:tcPr>
            <w:tcW w:type="dxa" w:w="317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17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获取指标与业务列表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/api/receivables</w:t>
            </w:r>
          </w:p>
        </w:tc>
        <w:tc>
          <w:tcPr>
            <w:tcW w:type="dxa" w:w="317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17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登记应收账款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/api/receivables/{asset_id}/confirm</w:t>
            </w:r>
          </w:p>
        </w:tc>
        <w:tc>
          <w:tcPr>
            <w:tcW w:type="dxa" w:w="317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17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核心企业确权或驳回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/api/loans/apply</w:t>
            </w:r>
          </w:p>
        </w:tc>
        <w:tc>
          <w:tcPr>
            <w:tcW w:type="dxa" w:w="317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17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发起融资并计算风险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/api/loans/{loan_id}/approve</w:t>
            </w:r>
          </w:p>
        </w:tc>
        <w:tc>
          <w:tcPr>
            <w:tcW w:type="dxa" w:w="317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17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金融机构审批融资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/api/audit/{asset_id}</w:t>
            </w:r>
          </w:p>
        </w:tc>
        <w:tc>
          <w:tcPr>
            <w:tcW w:type="dxa" w:w="317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17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查询链上历史轨迹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sz w:val="18"/>
              </w:rPr>
            </w:r>
            <w:r>
              <w:rPr>
                <w:rFonts w:ascii="Consolas" w:hAnsi="Consolas" w:eastAsia="等线"/>
                <w:color w:val="1E694E"/>
                <w:sz w:val="18"/>
              </w:rPr>
              <w:t>/docs</w:t>
            </w:r>
          </w:p>
        </w:tc>
        <w:tc>
          <w:tcPr>
            <w:tcW w:type="dxa" w:w="317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17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FastAPI自动生成的接口调试页面</w:t>
            </w:r>
          </w:p>
        </w:tc>
      </w:tr>
    </w:tbl>
    <w:p>
      <w:pPr>
        <w:spacing w:after="20"/>
      </w:pPr>
    </w:p>
    <w:p>
      <w:pPr>
        <w:spacing w:after="0"/>
      </w:pPr>
    </w:p>
    <w:p>
      <w:pPr>
        <w:ind w:firstLine="420"/>
      </w:pPr>
      <w:r>
        <w:t xml:space="preserve">Pydantic 会自动把接口模型加入 OpenAPI 文档。在 </w:t>
      </w:r>
      <w:r>
        <w:rPr>
          <w:rFonts w:ascii="Consolas" w:hAnsi="Consolas" w:eastAsia="等线"/>
          <w:color w:val="1E694E"/>
        </w:rPr>
        <w:t>/docs</w:t>
      </w:r>
      <w:r>
        <w:t xml:space="preserve"> 页面中可以查看字段说明、请求格式和返回结果，也可以直接发送测试请求。</w:t>
      </w:r>
    </w:p>
    <w:p>
      <w:pPr>
        <w:spacing w:after="0"/>
      </w:pPr>
    </w:p>
    <w:p>
      <w:pPr>
        <w:spacing w:after="0"/>
      </w:pPr>
    </w:p>
    <w:p>
      <w:pPr>
        <w:pStyle w:val="Heading1"/>
      </w:pPr>
      <w:r>
        <w:t>8. 安装与启动</w:t>
      </w:r>
    </w:p>
    <w:p>
      <w:pPr>
        <w:spacing w:after="0"/>
      </w:pPr>
    </w:p>
    <w:p>
      <w:pPr>
        <w:pStyle w:val="Heading2"/>
      </w:pPr>
      <w:r>
        <w:t>8.1 环境要求</w:t>
      </w:r>
    </w:p>
    <w:p>
      <w:pPr>
        <w:spacing w:after="0"/>
      </w:pPr>
    </w:p>
    <w:p>
      <w:pPr>
        <w:pStyle w:val="ListBullet"/>
      </w:pPr>
      <w:r>
        <w:t>Windows 10/11；</w:t>
      </w:r>
    </w:p>
    <w:p>
      <w:pPr>
        <w:pStyle w:val="ListBullet"/>
      </w:pPr>
      <w:r>
        <w:t>Python 3.9 或更高版本；</w:t>
      </w:r>
    </w:p>
    <w:p>
      <w:pPr>
        <w:pStyle w:val="ListBullet"/>
      </w:pPr>
      <w:r>
        <w:t>可用的现代浏览器。</w:t>
      </w:r>
    </w:p>
    <w:p>
      <w:pPr>
        <w:spacing w:after="0"/>
      </w:pPr>
    </w:p>
    <w:p>
      <w:pPr>
        <w:pStyle w:val="Heading2"/>
      </w:pPr>
      <w:r>
        <w:t>8.2 首次安装</w:t>
      </w:r>
    </w:p>
    <w:p>
      <w:pPr>
        <w:spacing w:after="0"/>
      </w:pPr>
    </w:p>
    <w:p>
      <w:pPr>
        <w:ind w:firstLine="420"/>
      </w:pPr>
      <w:r>
        <w:t>在项目目录打开 PowerShell：</w:t>
      </w:r>
    </w:p>
    <w:p>
      <w:pPr>
        <w:spacing w:after="0"/>
      </w:pPr>
    </w:p>
    <w:p>
      <w:pPr>
        <w:spacing w:before="80" w:after="140"/>
        <w:ind w:left="340" w:right="227"/>
        <w:shd w:fill="F1F5F2"/>
      </w:pPr>
      <w:r>
        <w:rPr>
          <w:rFonts w:ascii="Consolas" w:hAnsi="Consolas" w:eastAsia="等线"/>
          <w:sz w:val="18"/>
        </w:rPr>
        <w:t>python -m venv .venv</w:t>
        <w:br/>
        <w:t>.\.venv\Scripts\python.exe -m pip install -r requirements.txt</w:t>
      </w:r>
    </w:p>
    <w:p>
      <w:pPr>
        <w:spacing w:after="0"/>
      </w:pPr>
    </w:p>
    <w:p>
      <w:pPr>
        <w:pStyle w:val="Heading2"/>
      </w:pPr>
      <w:r>
        <w:t>8.3 启动系统</w:t>
      </w:r>
    </w:p>
    <w:p>
      <w:pPr>
        <w:spacing w:after="0"/>
      </w:pPr>
    </w:p>
    <w:p>
      <w:pPr>
        <w:spacing w:before="80" w:after="140"/>
        <w:ind w:left="340" w:right="227"/>
        <w:shd w:fill="F1F5F2"/>
      </w:pPr>
      <w:r>
        <w:rPr>
          <w:rFonts w:ascii="Consolas" w:hAnsi="Consolas" w:eastAsia="等线"/>
          <w:sz w:val="18"/>
        </w:rPr>
        <w:t>.\.venv\Scripts\python.exe -m uvicorn app:app --reload --host 127.0.0.1 --port 8002</w:t>
      </w:r>
    </w:p>
    <w:p>
      <w:pPr>
        <w:spacing w:after="0"/>
      </w:pPr>
    </w:p>
    <w:p>
      <w:pPr>
        <w:ind w:firstLine="420"/>
      </w:pPr>
      <w:r>
        <w:t xml:space="preserve">出现 </w:t>
      </w:r>
      <w:r>
        <w:rPr>
          <w:rFonts w:ascii="Consolas" w:hAnsi="Consolas" w:eastAsia="等线"/>
          <w:color w:val="1E694E"/>
        </w:rPr>
        <w:t>Uvicorn running on http://127.0.0.1:8002</w:t>
      </w:r>
      <w:r>
        <w:t xml:space="preserve"> 后，在浏览器访问：</w:t>
      </w:r>
    </w:p>
    <w:p>
      <w:pPr>
        <w:spacing w:after="0"/>
      </w:pPr>
    </w:p>
    <w:p>
      <w:pPr>
        <w:spacing w:before="80" w:after="140"/>
        <w:ind w:left="340" w:right="227"/>
        <w:shd w:fill="F1F5F2"/>
      </w:pPr>
      <w:r>
        <w:rPr>
          <w:rFonts w:ascii="Consolas" w:hAnsi="Consolas" w:eastAsia="等线"/>
          <w:sz w:val="18"/>
        </w:rPr>
        <w:t>http://127.0.0.1:8002</w:t>
      </w:r>
    </w:p>
    <w:p>
      <w:pPr>
        <w:spacing w:after="0"/>
      </w:pPr>
    </w:p>
    <w:p>
      <w:pPr>
        <w:ind w:firstLine="420"/>
      </w:pPr>
      <w:r>
        <w:t>接口文档地址：</w:t>
      </w:r>
    </w:p>
    <w:p>
      <w:pPr>
        <w:spacing w:after="0"/>
      </w:pPr>
    </w:p>
    <w:p>
      <w:pPr>
        <w:spacing w:before="80" w:after="140"/>
        <w:ind w:left="340" w:right="227"/>
        <w:shd w:fill="F1F5F2"/>
      </w:pPr>
      <w:r>
        <w:rPr>
          <w:rFonts w:ascii="Consolas" w:hAnsi="Consolas" w:eastAsia="等线"/>
          <w:sz w:val="18"/>
        </w:rPr>
        <w:t>http://127.0.0.1:8002/docs</w:t>
      </w:r>
    </w:p>
    <w:p>
      <w:pPr>
        <w:spacing w:after="0"/>
      </w:pPr>
    </w:p>
    <w:p>
      <w:pPr>
        <w:ind w:firstLine="420"/>
      </w:pPr>
      <w:r>
        <w:t xml:space="preserve">关闭系统时，在 PowerShell 窗口按 </w:t>
      </w:r>
      <w:r>
        <w:rPr>
          <w:rFonts w:ascii="Consolas" w:hAnsi="Consolas" w:eastAsia="等线"/>
          <w:color w:val="1E694E"/>
        </w:rPr>
        <w:t>Ctrl+C</w:t>
      </w:r>
      <w:r>
        <w:t>。</w:t>
      </w:r>
    </w:p>
    <w:p>
      <w:pPr>
        <w:spacing w:after="0"/>
      </w:pPr>
    </w:p>
    <w:p>
      <w:pPr>
        <w:spacing w:after="0"/>
      </w:pPr>
    </w:p>
    <w:p>
      <w:pPr>
        <w:pStyle w:val="Heading1"/>
      </w:pPr>
      <w:r>
        <w:t>9. 完整使用流程</w:t>
      </w:r>
    </w:p>
    <w:p>
      <w:pPr>
        <w:spacing w:after="0"/>
      </w:pPr>
    </w:p>
    <w:p>
      <w:pPr>
        <w:pStyle w:val="Heading2"/>
      </w:pPr>
      <w:r>
        <w:t>9.1 演示一笔新业务</w:t>
      </w:r>
    </w:p>
    <w:p>
      <w:pPr>
        <w:spacing w:after="0"/>
      </w:pPr>
    </w:p>
    <w:p>
      <w:pPr>
        <w:pStyle w:val="ListNumber"/>
      </w:pPr>
      <w:r>
        <w:t>右上角选择“供应商”，当前机构填写“华星电子”；</w:t>
      </w:r>
    </w:p>
    <w:p>
      <w:pPr>
        <w:pStyle w:val="ListNumber"/>
      </w:pPr>
      <w:r>
        <w:t>在“登记新账款”中填写核心企业、金额、到期日和合同编号；</w:t>
      </w:r>
    </w:p>
    <w:p>
      <w:pPr>
        <w:pStyle w:val="ListNumber"/>
      </w:pPr>
      <w:r>
        <w:t>点击“登记并存证”，账款进入待确权状态；</w:t>
      </w:r>
    </w:p>
    <w:p>
      <w:pPr>
        <w:pStyle w:val="ListNumber"/>
      </w:pPr>
      <w:r>
        <w:t>将角色切换为“核心企业”，机构填写为账款对应的核心企业；</w:t>
      </w:r>
    </w:p>
    <w:p>
      <w:pPr>
        <w:pStyle w:val="ListNumber"/>
      </w:pPr>
      <w:r>
        <w:t>点击账款后的“确权”；</w:t>
      </w:r>
    </w:p>
    <w:p>
      <w:pPr>
        <w:pStyle w:val="ListNumber"/>
      </w:pPr>
      <w:r>
        <w:t>切换回“供应商”和原供应商机构；</w:t>
      </w:r>
    </w:p>
    <w:p>
      <w:pPr>
        <w:pStyle w:val="ListNumber"/>
      </w:pPr>
      <w:r>
        <w:t>打开“融资审批”页，选择刚才的已确权账款；</w:t>
      </w:r>
    </w:p>
    <w:p>
      <w:pPr>
        <w:pStyle w:val="ListNumber"/>
      </w:pPr>
      <w:r>
        <w:t>输入融资金额，点击“评分并提交申请”；</w:t>
      </w:r>
    </w:p>
    <w:p>
      <w:pPr>
        <w:pStyle w:val="ListNumber"/>
      </w:pPr>
      <w:r>
        <w:t>切换为“金融机构”，点击融资申请后的“通过”；</w:t>
      </w:r>
    </w:p>
    <w:p>
      <w:pPr>
        <w:pStyle w:val="ListNumber"/>
      </w:pPr>
      <w:r>
        <w:t>输入年化利率并确认；</w:t>
      </w:r>
    </w:p>
    <w:p>
      <w:pPr>
        <w:pStyle w:val="ListNumber"/>
      </w:pPr>
      <w:r>
        <w:t>打开“链上审计”，选择该账款并点击“查询轨迹”；</w:t>
      </w:r>
    </w:p>
    <w:p>
      <w:pPr>
        <w:pStyle w:val="ListNumber"/>
      </w:pPr>
      <w:r>
        <w:t>查看登记、确权、融资申请和审批对应的区块事件。</w:t>
      </w:r>
    </w:p>
    <w:p>
      <w:pPr>
        <w:spacing w:after="0"/>
      </w:pPr>
    </w:p>
    <w:p>
      <w:pPr>
        <w:pStyle w:val="Heading2"/>
      </w:pPr>
      <w:r>
        <w:t>9.2 权限演示</w:t>
      </w:r>
    </w:p>
    <w:p>
      <w:pPr>
        <w:spacing w:after="0"/>
      </w:pPr>
    </w:p>
    <w:p>
      <w:pPr>
        <w:ind w:firstLine="420"/>
      </w:pPr>
      <w:r>
        <w:t>可以故意使用不匹配的角色或机构执行操作，例如让其他核心企业确认“远航科技”的账款。系统会返回“只能确权本企业相关账款”，用于展示 RBAC 和数据归属控制。</w:t>
      </w:r>
    </w:p>
    <w:p>
      <w:pPr>
        <w:spacing w:after="0"/>
      </w:pPr>
    </w:p>
    <w:p>
      <w:pPr>
        <w:pStyle w:val="Heading2"/>
      </w:pPr>
      <w:r>
        <w:t>9.3 重置演示数据</w:t>
      </w:r>
    </w:p>
    <w:p>
      <w:pPr>
        <w:spacing w:after="0"/>
      </w:pPr>
    </w:p>
    <w:p>
      <w:pPr>
        <w:ind w:firstLine="420"/>
      </w:pPr>
      <w:r>
        <w:t xml:space="preserve">先关闭服务，然后删除项目目录中的 </w:t>
      </w:r>
      <w:r>
        <w:rPr>
          <w:rFonts w:ascii="Consolas" w:hAnsi="Consolas" w:eastAsia="等线"/>
          <w:color w:val="1E694E"/>
        </w:rPr>
        <w:t>supply_chain.db</w:t>
      </w:r>
      <w:r>
        <w:t>，再次启动时程序会自动建立全新数据库并写入一条基础演示账款。</w:t>
      </w:r>
    </w:p>
    <w:p>
      <w:pPr>
        <w:spacing w:after="0"/>
      </w:pPr>
    </w:p>
    <w:p>
      <w:pPr>
        <w:ind w:firstLine="420"/>
      </w:pPr>
      <w:r>
        <w:t>删除数据库会清除全部业务记录，应仅在确认不需要保留现有演示数据时操作。</w:t>
      </w:r>
    </w:p>
    <w:p>
      <w:pPr>
        <w:spacing w:after="0"/>
      </w:pPr>
    </w:p>
    <w:p>
      <w:pPr>
        <w:spacing w:after="0"/>
      </w:pPr>
    </w:p>
    <w:p>
      <w:pPr>
        <w:pStyle w:val="Heading1"/>
      </w:pPr>
      <w:r>
        <w:t>10. 安全性与一致性设计</w:t>
      </w:r>
    </w:p>
    <w:p>
      <w:pPr>
        <w:spacing w:after="0"/>
      </w:pPr>
    </w:p>
    <w:p>
      <w:pPr>
        <w:pStyle w:val="Heading2"/>
      </w:pPr>
      <w:r>
        <w:t>10.1 参数安全</w:t>
      </w:r>
    </w:p>
    <w:p>
      <w:pPr>
        <w:spacing w:after="0"/>
      </w:pPr>
    </w:p>
    <w:p>
      <w:pPr>
        <w:ind w:firstLine="420"/>
      </w:pPr>
      <w:r>
        <w:t>Pydantic 对金额、日期、字符串长度和审批结果进行校验，错误数据不会进入业务处理。SQLAlchemy 使用参数化查询，避免直接拼接 SQL。</w:t>
      </w:r>
    </w:p>
    <w:p>
      <w:pPr>
        <w:spacing w:after="0"/>
      </w:pPr>
    </w:p>
    <w:p>
      <w:pPr>
        <w:pStyle w:val="Heading2"/>
      </w:pPr>
      <w:r>
        <w:t>10.2 权限安全</w:t>
      </w:r>
    </w:p>
    <w:p>
      <w:pPr>
        <w:spacing w:after="0"/>
      </w:pPr>
    </w:p>
    <w:p>
      <w:pPr>
        <w:ind w:firstLine="420"/>
      </w:pPr>
      <w:r>
        <w:t>所有写操作均在后端再次检查角色，不能仅通过修改前端按钮绕过权限。企业归属检查进一步限制数据访问范围。</w:t>
      </w:r>
    </w:p>
    <w:p>
      <w:pPr>
        <w:spacing w:after="0"/>
      </w:pPr>
    </w:p>
    <w:p>
      <w:pPr>
        <w:pStyle w:val="Heading2"/>
      </w:pPr>
      <w:r>
        <w:t>10.3 数据一致性</w:t>
      </w:r>
    </w:p>
    <w:p>
      <w:pPr>
        <w:spacing w:after="0"/>
      </w:pPr>
    </w:p>
    <w:p>
      <w:pPr>
        <w:ind w:firstLine="420"/>
      </w:pPr>
      <w:r>
        <w:t xml:space="preserve">业务数据更新与 </w:t>
      </w:r>
      <w:r>
        <w:rPr>
          <w:rFonts w:ascii="Consolas" w:hAnsi="Consolas" w:eastAsia="等线"/>
          <w:color w:val="1E694E"/>
        </w:rPr>
        <w:t>chain_events</w:t>
      </w:r>
      <w:r>
        <w:t xml:space="preserve"> 写入使用同一个数据库会话，并在最后统一 </w:t>
      </w:r>
      <w:r>
        <w:rPr>
          <w:rFonts w:ascii="Consolas" w:hAnsi="Consolas" w:eastAsia="等线"/>
          <w:color w:val="1E694E"/>
        </w:rPr>
        <w:t>commit()</w:t>
      </w:r>
      <w:r>
        <w:t>。任何步骤发生异常时都不会提交，从而避免“业务成功但存证失败”或“存证成功但业务未更新”。</w:t>
      </w:r>
    </w:p>
    <w:p>
      <w:pPr>
        <w:spacing w:after="0"/>
      </w:pPr>
    </w:p>
    <w:p>
      <w:pPr>
        <w:pStyle w:val="Heading2"/>
      </w:pPr>
      <w:r>
        <w:t>10.4 隐私与存储</w:t>
      </w:r>
    </w:p>
    <w:p>
      <w:pPr>
        <w:spacing w:after="0"/>
      </w:pPr>
    </w:p>
    <w:p>
      <w:pPr>
        <w:ind w:firstLine="420"/>
      </w:pPr>
      <w:r>
        <w:t>合同明细和金额保存在链下数据库；模拟链上只保存业务编号、状态和摘要。该方式降低敏感数据公开风险，也减少链上存储压力。</w:t>
      </w:r>
    </w:p>
    <w:p>
      <w:pPr>
        <w:spacing w:after="0"/>
      </w:pPr>
    </w:p>
    <w:p>
      <w:pPr>
        <w:spacing w:after="0"/>
      </w:pPr>
    </w:p>
    <w:p>
      <w:pPr>
        <w:pStyle w:val="Heading1"/>
      </w:pPr>
      <w:r>
        <w:t>11. 当前实现范围与后续扩展</w:t>
      </w:r>
    </w:p>
    <w:p>
      <w:pPr>
        <w:spacing w:after="0"/>
      </w:pPr>
    </w:p>
    <w:p>
      <w:pPr>
        <w:ind w:firstLine="420"/>
      </w:pPr>
      <w:r>
        <w:t>本项目已经完成文档要求的核心业务闭环，但仍属于教学演示系统。生产化可继续扩展：</w:t>
      </w:r>
    </w:p>
    <w:p>
      <w:pPr>
        <w:spacing w:after="0"/>
      </w:pPr>
    </w:p>
    <w:p>
      <w:pPr>
        <w:pStyle w:val="ListNumber"/>
      </w:pPr>
      <w:r>
        <w:t>增加用户表、企业认证、密码哈希和 JWT 登录；</w:t>
      </w:r>
    </w:p>
    <w:p>
      <w:pPr>
        <w:pStyle w:val="ListNumber"/>
      </w:pPr>
      <w:r>
        <w:t>使用 MySQL 或 PostgreSQL 替换 SQLite；</w:t>
      </w:r>
    </w:p>
    <w:p>
      <w:pPr>
        <w:pStyle w:val="ListNumber"/>
      </w:pPr>
      <w:r>
        <w:t>增加合同、发票和物流单文件上传及对象存储；</w:t>
      </w:r>
    </w:p>
    <w:p>
      <w:pPr>
        <w:pStyle w:val="ListNumber"/>
      </w:pPr>
      <w:r>
        <w:t>接入 FISCO BCOS、Hyperledger Fabric 或以太坊联盟链；</w:t>
      </w:r>
    </w:p>
    <w:p>
      <w:pPr>
        <w:pStyle w:val="ListNumber"/>
      </w:pPr>
      <w:r>
        <w:t xml:space="preserve">将 </w:t>
      </w:r>
      <w:r>
        <w:rPr>
          <w:rFonts w:ascii="Consolas" w:hAnsi="Consolas" w:eastAsia="等线"/>
          <w:color w:val="1E694E"/>
        </w:rPr>
        <w:t>chain_write()</w:t>
      </w:r>
      <w:r>
        <w:t xml:space="preserve"> 替换为 Web3.py 或联盟链 SDK；</w:t>
      </w:r>
    </w:p>
    <w:p>
      <w:pPr>
        <w:pStyle w:val="ListNumber"/>
      </w:pPr>
      <w:r>
        <w:t>增加异步交易回执、失败重试和交易状态同步；</w:t>
      </w:r>
    </w:p>
    <w:p>
      <w:pPr>
        <w:pStyle w:val="ListNumber"/>
      </w:pPr>
      <w:r>
        <w:t>增加还款、逾期、预警和贷后管理；</w:t>
      </w:r>
    </w:p>
    <w:p>
      <w:pPr>
        <w:pStyle w:val="ListNumber"/>
      </w:pPr>
      <w:r>
        <w:t>使用真实历史数据训练风险模型；</w:t>
      </w:r>
    </w:p>
    <w:p>
      <w:pPr>
        <w:pStyle w:val="ListNumber"/>
      </w:pPr>
      <w:r>
        <w:t>增加操作日志、数据脱敏和电子签名；</w:t>
      </w:r>
    </w:p>
    <w:p>
      <w:pPr>
        <w:pStyle w:val="ListNumber"/>
      </w:pPr>
      <w:r>
        <w:t>使用 Vue 等前端框架拆分页面组件。</w:t>
      </w:r>
    </w:p>
    <w:p>
      <w:pPr>
        <w:spacing w:after="0"/>
      </w:pPr>
    </w:p>
    <w:p>
      <w:pPr>
        <w:spacing w:after="0"/>
      </w:pPr>
    </w:p>
    <w:p>
      <w:pPr>
        <w:pStyle w:val="Heading1"/>
      </w:pPr>
      <w:r>
        <w:t>12. 总结</w:t>
      </w:r>
    </w:p>
    <w:p>
      <w:pPr>
        <w:spacing w:after="0"/>
      </w:pPr>
    </w:p>
    <w:p>
      <w:pPr>
        <w:ind w:firstLine="420"/>
      </w:pPr>
      <w:r>
        <w:t>供应链金融平台以应收账款融资为主线，将供应商、核心企业、金融机构和监管机构连接到同一业务流程中。FastAPI 和 SQLAlchemy 负责链下业务，规则模型负责风险量化，追加式事件账本负责关键操作留痕。系统通过角色权限、企业归属、哈希摘要、交易哈希和审计时间轴，完整展示了区块链在供应链金融中“增信、确权、存证和追溯”的应用价值。</w:t>
      </w:r>
    </w:p>
    <w:p>
      <w:pPr>
        <w:spacing w:after="0"/>
      </w:pPr>
    </w:p>
    <w:p>
      <w:pPr>
        <w:ind w:firstLine="420"/>
      </w:pPr>
      <w:r>
        <w:t>项目既可以直接作为课程功能演示，也为后续接入真实区块链节点、扩展风控模型和完善生产级安全机制保留了清晰接口。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86E"/>
        <w:sz w:val="18"/>
      </w:rPr>
      <w:t>供应链金融平台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6B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76B4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64E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D3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供应链金融平台项目功能实现与使用说明</dc:title>
  <dc:subject>区块链供应链金融平台课程项目说明</dc:subject>
  <dc:creator>王宇诺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