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0BE89" w14:textId="77777777" w:rsidR="00A63A65" w:rsidRDefault="00000000">
      <w:pPr>
        <w:jc w:val="center"/>
        <w:rPr>
          <w:rFonts w:eastAsia="Times New Roman" w:cs="Times New Roman"/>
          <w:b/>
          <w:color w:val="000000"/>
        </w:rPr>
      </w:pPr>
      <w:r>
        <w:rPr>
          <w:rFonts w:eastAsia="Times New Roman" w:cs="Times New Roman"/>
          <w:b/>
          <w:color w:val="000000"/>
        </w:rPr>
        <w:t xml:space="preserve">Positioning </w:t>
      </w:r>
      <w:proofErr w:type="spellStart"/>
      <w:r>
        <w:rPr>
          <w:rFonts w:eastAsia="Times New Roman" w:cs="Times New Roman"/>
          <w:b/>
          <w:color w:val="000000"/>
        </w:rPr>
        <w:t>Liṅgāyatism</w:t>
      </w:r>
      <w:proofErr w:type="spellEnd"/>
      <w:r>
        <w:rPr>
          <w:rFonts w:eastAsia="Times New Roman" w:cs="Times New Roman"/>
          <w:b/>
          <w:color w:val="000000"/>
        </w:rPr>
        <w:t>:</w:t>
      </w:r>
    </w:p>
    <w:p w14:paraId="0D9A7A0B" w14:textId="0471DCDF" w:rsidR="00A63A65" w:rsidRDefault="009F3379">
      <w:pPr>
        <w:jc w:val="center"/>
        <w:rPr>
          <w:rFonts w:eastAsia="Times New Roman" w:cs="Times New Roman"/>
          <w:bCs/>
          <w:color w:val="000000"/>
        </w:rPr>
      </w:pPr>
      <w:r>
        <w:rPr>
          <w:rFonts w:eastAsia="Times New Roman" w:cs="Times New Roman"/>
          <w:bCs/>
          <w:color w:val="000000"/>
        </w:rPr>
        <w:t xml:space="preserve">Rebellions and the </w:t>
      </w:r>
      <w:r w:rsidR="00000000">
        <w:rPr>
          <w:rFonts w:eastAsia="Times New Roman" w:cs="Times New Roman"/>
          <w:bCs/>
          <w:color w:val="000000"/>
        </w:rPr>
        <w:t xml:space="preserve">Boundaries of Religion in the </w:t>
      </w:r>
      <w:r>
        <w:rPr>
          <w:rFonts w:eastAsia="Times New Roman" w:cs="Times New Roman"/>
          <w:bCs/>
          <w:color w:val="000000"/>
        </w:rPr>
        <w:t>History of Royal Mysore</w:t>
      </w:r>
      <w:r w:rsidR="00000000">
        <w:rPr>
          <w:rFonts w:eastAsia="Times New Roman" w:cs="Times New Roman"/>
          <w:bCs/>
          <w:color w:val="000000"/>
        </w:rPr>
        <w:t xml:space="preserve"> </w:t>
      </w:r>
      <w:bookmarkStart w:id="0" w:name="_Hlk149910346"/>
    </w:p>
    <w:bookmarkEnd w:id="0"/>
    <w:p w14:paraId="7A48BD87" w14:textId="77777777" w:rsidR="00A63A65" w:rsidRDefault="00A63A65">
      <w:pPr>
        <w:jc w:val="center"/>
        <w:rPr>
          <w:rFonts w:eastAsia="Times New Roman" w:cs="Times New Roman"/>
          <w:b/>
          <w:color w:val="000000"/>
          <w:lang w:bidi="ur-PK"/>
        </w:rPr>
      </w:pPr>
    </w:p>
    <w:p w14:paraId="539BD376" w14:textId="77777777" w:rsidR="00A63A65" w:rsidRDefault="00A63A65">
      <w:pPr>
        <w:spacing w:line="480" w:lineRule="auto"/>
        <w:rPr>
          <w:rFonts w:eastAsia="Times New Roman" w:cs="Times New Roman"/>
          <w:color w:val="000000"/>
        </w:rPr>
      </w:pPr>
    </w:p>
    <w:p w14:paraId="1C0C339B" w14:textId="069F9D4C" w:rsidR="00A63A65" w:rsidRDefault="00000000" w:rsidP="00320622">
      <w:pPr>
        <w:tabs>
          <w:tab w:val="left" w:pos="630"/>
        </w:tabs>
        <w:spacing w:line="480" w:lineRule="auto"/>
        <w:ind w:firstLine="720"/>
        <w:rPr>
          <w:rFonts w:eastAsia="Times New Roman" w:cs="Times New Roman"/>
          <w:color w:val="000000"/>
        </w:rPr>
      </w:pPr>
      <w:r>
        <w:rPr>
          <w:rFonts w:eastAsia="Times New Roman" w:cs="Times New Roman"/>
          <w:color w:val="000000"/>
        </w:rPr>
        <w:t xml:space="preserve">Recently, </w:t>
      </w:r>
      <w:proofErr w:type="spellStart"/>
      <w:r>
        <w:rPr>
          <w:rFonts w:eastAsia="Times New Roman" w:cs="Times New Roman"/>
          <w:color w:val="000000"/>
        </w:rPr>
        <w:t>Liṅgāyatism</w:t>
      </w:r>
      <w:proofErr w:type="spellEnd"/>
      <w:r>
        <w:rPr>
          <w:rFonts w:eastAsia="Times New Roman" w:cs="Times New Roman"/>
          <w:color w:val="000000"/>
        </w:rPr>
        <w:t xml:space="preserve">, and more precisely its place in broader classifications of religion in India, has once again become the subject of controversy in Indian legal and public discourse: are </w:t>
      </w:r>
      <w:commentRangeStart w:id="1"/>
      <w:commentRangeStart w:id="2"/>
      <w:proofErr w:type="spellStart"/>
      <w:r w:rsidR="00BA1800">
        <w:rPr>
          <w:rFonts w:eastAsia="Times New Roman" w:cs="Times New Roman"/>
          <w:color w:val="000000"/>
        </w:rPr>
        <w:t>Liṅgāyat</w:t>
      </w:r>
      <w:r>
        <w:rPr>
          <w:rFonts w:eastAsia="Times New Roman" w:cs="Times New Roman"/>
          <w:color w:val="000000"/>
        </w:rPr>
        <w:t>s</w:t>
      </w:r>
      <w:proofErr w:type="spellEnd"/>
      <w:r w:rsidR="007F373E">
        <w:rPr>
          <w:rFonts w:eastAsia="Times New Roman" w:cs="Times New Roman"/>
          <w:color w:val="000000"/>
        </w:rPr>
        <w:t xml:space="preserve"> </w:t>
      </w:r>
      <w:commentRangeEnd w:id="1"/>
      <w:r w:rsidR="004B6927">
        <w:rPr>
          <w:rStyle w:val="CommentReference"/>
        </w:rPr>
        <w:commentReference w:id="1"/>
      </w:r>
      <w:commentRangeEnd w:id="2"/>
      <w:r w:rsidR="00BA1800">
        <w:rPr>
          <w:rStyle w:val="CommentReference"/>
        </w:rPr>
        <w:commentReference w:id="2"/>
      </w:r>
      <w:r>
        <w:rPr>
          <w:rFonts w:eastAsia="Times New Roman" w:cs="Times New Roman"/>
          <w:color w:val="000000"/>
        </w:rPr>
        <w:t xml:space="preserve">Hindus? At stake in this controversy are both the Indian Constitution’s definition of religion(s) and an individual’s and/or </w:t>
      </w:r>
      <w:commentRangeStart w:id="3"/>
      <w:r w:rsidR="002065CE">
        <w:rPr>
          <w:rFonts w:eastAsia="Times New Roman" w:cs="Times New Roman"/>
          <w:color w:val="000000"/>
        </w:rPr>
        <w:t>community’</w:t>
      </w:r>
      <w:r w:rsidR="002065CE">
        <w:rPr>
          <w:rFonts w:eastAsia="Times New Roman" w:cs="Times New Roman"/>
          <w:color w:val="000000"/>
        </w:rPr>
        <w:t xml:space="preserve">s </w:t>
      </w:r>
      <w:r>
        <w:rPr>
          <w:rFonts w:eastAsia="Times New Roman" w:cs="Times New Roman"/>
          <w:color w:val="000000"/>
        </w:rPr>
        <w:t xml:space="preserve">agency </w:t>
      </w:r>
      <w:commentRangeEnd w:id="3"/>
      <w:r w:rsidR="00947B38">
        <w:rPr>
          <w:rStyle w:val="CommentReference"/>
        </w:rPr>
        <w:commentReference w:id="3"/>
      </w:r>
      <w:r>
        <w:rPr>
          <w:rFonts w:eastAsia="Times New Roman" w:cs="Times New Roman"/>
          <w:color w:val="000000"/>
        </w:rPr>
        <w:t xml:space="preserve">in determining their own religious identity. Some </w:t>
      </w:r>
      <w:proofErr w:type="spellStart"/>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had been claiming for decades that they were not Hindus, but it was up to the government to recognize those claims. The conversation over </w:t>
      </w:r>
      <w:proofErr w:type="spellStart"/>
      <w:r w:rsidR="00BA1800">
        <w:rPr>
          <w:rFonts w:eastAsia="Times New Roman" w:cs="Times New Roman"/>
          <w:color w:val="000000"/>
        </w:rPr>
        <w:t>Liṅgāyat</w:t>
      </w:r>
      <w:proofErr w:type="spellEnd"/>
      <w:r>
        <w:rPr>
          <w:rFonts w:eastAsia="Times New Roman" w:cs="Times New Roman"/>
          <w:color w:val="000000"/>
        </w:rPr>
        <w:t xml:space="preserve"> religious identity came to a flash point on March 19, 2018, when in a landmark decision, the Congress-led Karnataka Government and its Chief Minister Siddaramaiah decided to grant </w:t>
      </w:r>
      <w:proofErr w:type="spellStart"/>
      <w:r>
        <w:rPr>
          <w:rFonts w:eastAsia="Times New Roman" w:cs="Times New Roman"/>
          <w:color w:val="000000"/>
        </w:rPr>
        <w:t>Liṅgāyatism</w:t>
      </w:r>
      <w:proofErr w:type="spellEnd"/>
      <w:r>
        <w:rPr>
          <w:rFonts w:eastAsia="Times New Roman" w:cs="Times New Roman"/>
          <w:color w:val="000000"/>
        </w:rPr>
        <w:t>, whose followers make up 17% of the state’s population, the designation of “minority religion” (</w:t>
      </w:r>
      <w:r>
        <w:rPr>
          <w:rFonts w:eastAsia="Times New Roman" w:cs="Times New Roman"/>
          <w:i/>
          <w:iCs/>
          <w:color w:val="000000"/>
        </w:rPr>
        <w:t>Times of India</w:t>
      </w:r>
      <w:r w:rsidR="00947B38">
        <w:rPr>
          <w:rFonts w:eastAsia="Times New Roman" w:cs="Times New Roman"/>
          <w:color w:val="000000"/>
        </w:rPr>
        <w:t>,</w:t>
      </w:r>
      <w:r>
        <w:rPr>
          <w:rFonts w:eastAsia="Times New Roman" w:cs="Times New Roman"/>
          <w:i/>
          <w:iCs/>
          <w:color w:val="000000"/>
        </w:rPr>
        <w:t xml:space="preserve"> </w:t>
      </w:r>
      <w:r>
        <w:rPr>
          <w:rFonts w:eastAsia="Times New Roman" w:cs="Times New Roman"/>
          <w:color w:val="000000"/>
        </w:rPr>
        <w:t xml:space="preserve">March </w:t>
      </w:r>
      <w:r w:rsidR="00947B38">
        <w:rPr>
          <w:rFonts w:eastAsia="Times New Roman" w:cs="Times New Roman"/>
          <w:color w:val="000000"/>
        </w:rPr>
        <w:t xml:space="preserve">20, </w:t>
      </w:r>
      <w:r>
        <w:rPr>
          <w:rFonts w:eastAsia="Times New Roman" w:cs="Times New Roman"/>
          <w:color w:val="000000"/>
        </w:rPr>
        <w:t xml:space="preserve">2018). With this declaration, the state officially marked a distinction between the broader Hindu traditions and the </w:t>
      </w:r>
      <w:bookmarkStart w:id="4" w:name="_Hlk149910250"/>
      <w:r>
        <w:rPr>
          <w:rFonts w:eastAsia="Times New Roman" w:cs="Times New Roman"/>
          <w:color w:val="000000"/>
        </w:rPr>
        <w:t xml:space="preserve">Kannadiga tradition </w:t>
      </w:r>
      <w:bookmarkEnd w:id="4"/>
      <w:r>
        <w:rPr>
          <w:rFonts w:eastAsia="Times New Roman" w:cs="Times New Roman"/>
          <w:color w:val="000000"/>
        </w:rPr>
        <w:t xml:space="preserve">that self-identifies as a separate, non-Hindu religion and traces its philosophy to the bhakti poet Basava of the twelfth century. Many aspects of the political intention and potential impact of the state government’s decision, including its implications for Indian constitutional hermeneutics and Indian jurisprudence and legislation, lie outside the scope of this essay. In this article, I wish, instead, to use this monumental decision as an opportunity to think about religious identity and the agency through which a group or tradition has the power to demarcate its own boundaries within the broader landscape of religions and religious traditions, particularly those in India. I am interested in the inherently political process of deciding who is “in” and who is “out,” who is part of </w:t>
      </w:r>
      <w:r>
        <w:rPr>
          <w:rFonts w:eastAsia="Times New Roman" w:cs="Times New Roman"/>
          <w:i/>
          <w:iCs/>
          <w:color w:val="000000"/>
        </w:rPr>
        <w:t xml:space="preserve">the </w:t>
      </w:r>
      <w:r>
        <w:rPr>
          <w:rFonts w:eastAsia="Times New Roman" w:cs="Times New Roman"/>
          <w:color w:val="000000"/>
        </w:rPr>
        <w:t xml:space="preserve">group and who is, for whatever reason, pushed outside its confines, and, </w:t>
      </w:r>
      <w:r>
        <w:rPr>
          <w:rFonts w:eastAsia="Times New Roman" w:cs="Times New Roman"/>
          <w:color w:val="000000"/>
        </w:rPr>
        <w:lastRenderedPageBreak/>
        <w:t xml:space="preserve">finally, how the decision-making process inevitably resides beyond the agency of the group whose (religious) identity is in question. Indeed, in the days following the Karnataka government’s decision, many implied, suggested, or outright accused the reigning Congress government’s decision of pandering to the </w:t>
      </w:r>
      <w:proofErr w:type="spellStart"/>
      <w:r w:rsidR="00BA1800">
        <w:rPr>
          <w:rFonts w:eastAsia="Times New Roman" w:cs="Times New Roman"/>
          <w:color w:val="000000"/>
        </w:rPr>
        <w:t>Liṅgāyat</w:t>
      </w:r>
      <w:proofErr w:type="spellEnd"/>
      <w:r>
        <w:rPr>
          <w:rFonts w:eastAsia="Times New Roman" w:cs="Times New Roman"/>
          <w:color w:val="000000"/>
        </w:rPr>
        <w:t xml:space="preserve"> community </w:t>
      </w:r>
      <w:proofErr w:type="gramStart"/>
      <w:r>
        <w:rPr>
          <w:rFonts w:eastAsia="Times New Roman" w:cs="Times New Roman"/>
          <w:color w:val="000000"/>
        </w:rPr>
        <w:t>in an attempt to</w:t>
      </w:r>
      <w:proofErr w:type="gramEnd"/>
      <w:r>
        <w:rPr>
          <w:rFonts w:eastAsia="Times New Roman" w:cs="Times New Roman"/>
          <w:color w:val="000000"/>
        </w:rPr>
        <w:t xml:space="preserve"> mobilize its members, approximately 10 million people, in the upcoming statewide elections, and Congress has, likewise, accused the BJP of turning a matter of social and religious identity into an opportunity to sow political discord.  </w:t>
      </w:r>
    </w:p>
    <w:p w14:paraId="1B247DB4" w14:textId="687870EC"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I begin this article with the recent debate described above as a starting point to highlight the ongoing importance of </w:t>
      </w:r>
      <w:proofErr w:type="spellStart"/>
      <w:r w:rsidR="00BA1800">
        <w:rPr>
          <w:rFonts w:eastAsia="Times New Roman" w:cs="Times New Roman"/>
          <w:color w:val="000000"/>
        </w:rPr>
        <w:t>Liṅgāyat</w:t>
      </w:r>
      <w:proofErr w:type="spellEnd"/>
      <w:r>
        <w:rPr>
          <w:rFonts w:eastAsia="Times New Roman" w:cs="Times New Roman"/>
          <w:color w:val="000000"/>
        </w:rPr>
        <w:t xml:space="preserve"> community within Kannadiga politics and to highlight how the negotiation of </w:t>
      </w:r>
      <w:proofErr w:type="spellStart"/>
      <w:r w:rsidR="00BA1800">
        <w:rPr>
          <w:rFonts w:eastAsia="Times New Roman" w:cs="Times New Roman"/>
          <w:color w:val="000000"/>
        </w:rPr>
        <w:t>Liṅgāyat</w:t>
      </w:r>
      <w:proofErr w:type="spellEnd"/>
      <w:r>
        <w:rPr>
          <w:rFonts w:eastAsia="Times New Roman" w:cs="Times New Roman"/>
          <w:color w:val="000000"/>
        </w:rPr>
        <w:t xml:space="preserve"> identity is subject to political intervention. In this article, I examine </w:t>
      </w:r>
      <w:commentRangeStart w:id="5"/>
      <w:r w:rsidR="00BA1800">
        <w:rPr>
          <w:rFonts w:eastAsia="Times New Roman" w:cs="Times New Roman"/>
          <w:color w:val="000000"/>
        </w:rPr>
        <w:t>two narratives</w:t>
      </w:r>
      <w:r w:rsidR="009F3379">
        <w:rPr>
          <w:rFonts w:eastAsia="Times New Roman" w:cs="Times New Roman"/>
          <w:color w:val="000000"/>
        </w:rPr>
        <w:t xml:space="preserve"> of rebellions</w:t>
      </w:r>
      <w:r w:rsidR="00BA1800">
        <w:rPr>
          <w:rFonts w:eastAsia="Times New Roman" w:cs="Times New Roman"/>
          <w:color w:val="000000"/>
        </w:rPr>
        <w:t xml:space="preserve">, set in the </w:t>
      </w:r>
      <w:r w:rsidR="001E7405">
        <w:rPr>
          <w:rFonts w:eastAsia="Times New Roman" w:cs="Times New Roman"/>
          <w:color w:val="000000"/>
        </w:rPr>
        <w:t>seventeenth</w:t>
      </w:r>
      <w:r w:rsidR="00BA1800">
        <w:rPr>
          <w:rFonts w:eastAsia="Times New Roman" w:cs="Times New Roman"/>
          <w:color w:val="000000"/>
        </w:rPr>
        <w:t xml:space="preserve"> and </w:t>
      </w:r>
      <w:r w:rsidR="001E7405">
        <w:rPr>
          <w:rFonts w:eastAsia="Times New Roman" w:cs="Times New Roman"/>
          <w:color w:val="000000"/>
        </w:rPr>
        <w:t>nineteenth</w:t>
      </w:r>
      <w:r w:rsidR="00BA1800">
        <w:rPr>
          <w:rFonts w:eastAsia="Times New Roman" w:cs="Times New Roman"/>
          <w:color w:val="000000"/>
        </w:rPr>
        <w:t xml:space="preserve"> centuries</w:t>
      </w:r>
      <w:r w:rsidR="009F3379">
        <w:rPr>
          <w:rFonts w:eastAsia="Times New Roman" w:cs="Times New Roman"/>
          <w:color w:val="000000"/>
        </w:rPr>
        <w:t xml:space="preserve"> and written in the nineteenth century</w:t>
      </w:r>
      <w:r w:rsidR="00BA1800">
        <w:rPr>
          <w:rFonts w:eastAsia="Times New Roman" w:cs="Times New Roman"/>
          <w:color w:val="000000"/>
        </w:rPr>
        <w:t>,</w:t>
      </w:r>
      <w:r>
        <w:rPr>
          <w:rFonts w:eastAsia="Times New Roman" w:cs="Times New Roman"/>
          <w:color w:val="000000"/>
        </w:rPr>
        <w:t xml:space="preserve"> </w:t>
      </w:r>
      <w:commentRangeEnd w:id="5"/>
      <w:r w:rsidR="00442F44">
        <w:rPr>
          <w:rStyle w:val="CommentReference"/>
        </w:rPr>
        <w:commentReference w:id="5"/>
      </w:r>
      <w:r w:rsidR="00BA1800">
        <w:rPr>
          <w:rFonts w:eastAsia="Times New Roman" w:cs="Times New Roman"/>
          <w:color w:val="000000"/>
        </w:rPr>
        <w:t xml:space="preserve">that demonstrate how </w:t>
      </w:r>
      <w:r w:rsidR="00BA1800">
        <w:rPr>
          <w:rFonts w:eastAsia="Times New Roman" w:cs="Times New Roman"/>
          <w:color w:val="000000"/>
        </w:rPr>
        <w:t xml:space="preserve">political positionality </w:t>
      </w:r>
      <w:r w:rsidR="00BA1800">
        <w:rPr>
          <w:rFonts w:eastAsia="Times New Roman" w:cs="Times New Roman"/>
          <w:color w:val="000000"/>
        </w:rPr>
        <w:t xml:space="preserve">became mapped onto the </w:t>
      </w:r>
      <w:r w:rsidR="009F3379">
        <w:rPr>
          <w:rFonts w:eastAsia="Times New Roman" w:cs="Times New Roman"/>
          <w:color w:val="000000"/>
        </w:rPr>
        <w:t xml:space="preserve">modern </w:t>
      </w:r>
      <w:r w:rsidR="00BA1800">
        <w:rPr>
          <w:rFonts w:eastAsia="Times New Roman" w:cs="Times New Roman"/>
          <w:color w:val="000000"/>
        </w:rPr>
        <w:t xml:space="preserve">religious identity </w:t>
      </w:r>
      <w:r w:rsidR="00BA1800">
        <w:rPr>
          <w:rFonts w:eastAsia="Times New Roman" w:cs="Times New Roman"/>
          <w:color w:val="000000"/>
        </w:rPr>
        <w:t>of</w:t>
      </w:r>
      <w:r w:rsidR="00BA1800">
        <w:rPr>
          <w:rFonts w:eastAsia="Times New Roman" w:cs="Times New Roman"/>
          <w:color w:val="000000"/>
        </w:rPr>
        <w:t xml:space="preserve"> </w:t>
      </w:r>
      <w:proofErr w:type="spellStart"/>
      <w:r>
        <w:rPr>
          <w:rFonts w:eastAsia="Times New Roman" w:cs="Times New Roman"/>
          <w:color w:val="000000"/>
        </w:rPr>
        <w:t>Vīraśaiva-</w:t>
      </w:r>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—t</w:t>
      </w:r>
      <w:r w:rsidR="004B6927">
        <w:rPr>
          <w:rFonts w:eastAsia="Times New Roman" w:cs="Times New Roman"/>
          <w:color w:val="000000"/>
        </w:rPr>
        <w:t>wo</w:t>
      </w:r>
      <w:r>
        <w:rPr>
          <w:rFonts w:eastAsia="Times New Roman" w:cs="Times New Roman"/>
          <w:color w:val="000000"/>
        </w:rPr>
        <w:t xml:space="preserve"> terms that have their own histories but are interchanged in the Kannada sources that I </w:t>
      </w:r>
      <w:r w:rsidR="00BA1800">
        <w:rPr>
          <w:rFonts w:eastAsia="Times New Roman" w:cs="Times New Roman"/>
          <w:color w:val="000000"/>
        </w:rPr>
        <w:t>discussed</w:t>
      </w:r>
      <w:r w:rsidR="00BA1800">
        <w:rPr>
          <w:rFonts w:eastAsia="Times New Roman" w:cs="Times New Roman"/>
          <w:color w:val="000000"/>
        </w:rPr>
        <w:t xml:space="preserve"> </w:t>
      </w:r>
      <w:r w:rsidR="00BA1800">
        <w:rPr>
          <w:rFonts w:eastAsia="Times New Roman" w:cs="Times New Roman"/>
          <w:color w:val="000000"/>
        </w:rPr>
        <w:t>below</w:t>
      </w:r>
      <w:r w:rsidR="00BA1800">
        <w:rPr>
          <w:rFonts w:eastAsia="Times New Roman" w:cs="Times New Roman"/>
          <w:color w:val="000000"/>
        </w:rPr>
        <w:t xml:space="preserve"> </w:t>
      </w:r>
      <w:r>
        <w:rPr>
          <w:rFonts w:eastAsia="Times New Roman" w:cs="Times New Roman"/>
          <w:color w:val="000000"/>
        </w:rPr>
        <w:t>and I, therefore, use both terms simultaneously to describe the group/tradition</w:t>
      </w:r>
      <w:r w:rsidR="00BA1800">
        <w:rPr>
          <w:rFonts w:eastAsia="Times New Roman" w:cs="Times New Roman"/>
          <w:color w:val="000000"/>
        </w:rPr>
        <w:t>.</w:t>
      </w:r>
      <w:r>
        <w:rPr>
          <w:rFonts w:eastAsia="Times New Roman" w:cs="Times New Roman"/>
          <w:color w:val="000000"/>
        </w:rPr>
        <w:t>. I argue that</w:t>
      </w:r>
      <w:r w:rsidR="00BA1800">
        <w:rPr>
          <w:rFonts w:eastAsia="Times New Roman" w:cs="Times New Roman"/>
          <w:color w:val="000000"/>
        </w:rPr>
        <w:t xml:space="preserve"> </w:t>
      </w:r>
      <w:r w:rsidR="001E7405">
        <w:rPr>
          <w:rFonts w:eastAsia="Times New Roman" w:cs="Times New Roman"/>
          <w:color w:val="000000"/>
        </w:rPr>
        <w:t>histories of the Mysore court</w:t>
      </w:r>
      <w:r w:rsidR="009F3379">
        <w:rPr>
          <w:rFonts w:eastAsia="Times New Roman" w:cs="Times New Roman"/>
          <w:color w:val="000000"/>
        </w:rPr>
        <w:t>, particularly stories of these two revolts written in the nineteenth century,</w:t>
      </w:r>
      <w:r w:rsidR="001E7405">
        <w:rPr>
          <w:rFonts w:eastAsia="Times New Roman" w:cs="Times New Roman"/>
          <w:color w:val="000000"/>
        </w:rPr>
        <w:t xml:space="preserve"> were vehicles for </w:t>
      </w:r>
      <w:r w:rsidR="009F3379">
        <w:rPr>
          <w:rFonts w:eastAsia="Times New Roman" w:cs="Times New Roman"/>
          <w:color w:val="000000"/>
        </w:rPr>
        <w:t xml:space="preserve">political positioning of </w:t>
      </w:r>
      <w:proofErr w:type="spellStart"/>
      <w:r w:rsidR="009F3379">
        <w:rPr>
          <w:rFonts w:eastAsia="Times New Roman" w:cs="Times New Roman"/>
          <w:color w:val="000000"/>
        </w:rPr>
        <w:t>Vīraśaiva-Liṅgāyatism</w:t>
      </w:r>
      <w:proofErr w:type="spellEnd"/>
      <w:r w:rsidR="009F3379">
        <w:rPr>
          <w:rFonts w:eastAsia="Times New Roman" w:cs="Times New Roman"/>
          <w:color w:val="000000"/>
        </w:rPr>
        <w:t xml:space="preserve"> </w:t>
      </w:r>
      <w:r w:rsidR="009F3379">
        <w:rPr>
          <w:rFonts w:eastAsia="Times New Roman" w:cs="Times New Roman"/>
          <w:color w:val="000000"/>
        </w:rPr>
        <w:t>through</w:t>
      </w:r>
      <w:r w:rsidR="00BA1800">
        <w:rPr>
          <w:rFonts w:eastAsia="Times New Roman" w:cs="Times New Roman"/>
          <w:color w:val="000000"/>
        </w:rPr>
        <w:t xml:space="preserve"> </w:t>
      </w:r>
      <w:r w:rsidR="00FF1604">
        <w:rPr>
          <w:rFonts w:eastAsia="Times New Roman" w:cs="Times New Roman"/>
          <w:color w:val="000000"/>
        </w:rPr>
        <w:t>negotiation of its</w:t>
      </w:r>
      <w:r w:rsidR="001E7405">
        <w:rPr>
          <w:rFonts w:eastAsia="Times New Roman" w:cs="Times New Roman"/>
          <w:color w:val="000000"/>
        </w:rPr>
        <w:t xml:space="preserve"> </w:t>
      </w:r>
      <w:r w:rsidR="00BA1800">
        <w:rPr>
          <w:rFonts w:eastAsia="Times New Roman" w:cs="Times New Roman"/>
          <w:color w:val="000000"/>
        </w:rPr>
        <w:t>acceptab</w:t>
      </w:r>
      <w:r w:rsidR="00FF1604">
        <w:rPr>
          <w:rFonts w:eastAsia="Times New Roman" w:cs="Times New Roman"/>
          <w:color w:val="000000"/>
        </w:rPr>
        <w:t>ility as courtly</w:t>
      </w:r>
      <w:r w:rsidR="00BA1800">
        <w:rPr>
          <w:rFonts w:eastAsia="Times New Roman" w:cs="Times New Roman"/>
          <w:color w:val="000000"/>
        </w:rPr>
        <w:t xml:space="preserve"> religious tradition of the Mysore</w:t>
      </w:r>
      <w:r w:rsidR="00FF1604">
        <w:rPr>
          <w:rFonts w:eastAsia="Times New Roman" w:cs="Times New Roman"/>
          <w:color w:val="000000"/>
        </w:rPr>
        <w:t>. T</w:t>
      </w:r>
      <w:r>
        <w:rPr>
          <w:rFonts w:eastAsia="Times New Roman" w:cs="Times New Roman"/>
          <w:color w:val="000000"/>
        </w:rPr>
        <w:t xml:space="preserve">he political inclusion or exclusion has </w:t>
      </w:r>
      <w:r w:rsidR="001E7405">
        <w:rPr>
          <w:rFonts w:eastAsia="Times New Roman" w:cs="Times New Roman"/>
          <w:color w:val="000000"/>
        </w:rPr>
        <w:t>continued to be a</w:t>
      </w:r>
      <w:r>
        <w:rPr>
          <w:rFonts w:eastAsia="Times New Roman" w:cs="Times New Roman"/>
          <w:color w:val="000000"/>
        </w:rPr>
        <w:t xml:space="preserve"> political touch point in the Kannada-speaking south. More broadly, I am interested the ways</w:t>
      </w:r>
      <w:r w:rsidR="001E7405">
        <w:rPr>
          <w:rFonts w:eastAsia="Times New Roman" w:cs="Times New Roman"/>
          <w:color w:val="000000"/>
        </w:rPr>
        <w:t xml:space="preserve"> </w:t>
      </w:r>
      <w:r w:rsidR="001E7405" w:rsidRPr="001E7405">
        <w:rPr>
          <w:rFonts w:eastAsia="Times New Roman" w:cs="Times New Roman"/>
          <w:color w:val="000000"/>
        </w:rPr>
        <w:t>that different agents mobilize religious identity for political expediency</w:t>
      </w:r>
      <w:r>
        <w:rPr>
          <w:rFonts w:eastAsia="Times New Roman" w:cs="Times New Roman"/>
          <w:color w:val="000000"/>
        </w:rPr>
        <w:t xml:space="preserve">, and, particularly, the pragmatism that determined </w:t>
      </w:r>
      <w:proofErr w:type="spellStart"/>
      <w:r>
        <w:rPr>
          <w:rFonts w:eastAsia="Times New Roman" w:cs="Times New Roman"/>
          <w:color w:val="000000"/>
        </w:rPr>
        <w:t>Vīraśaiva-</w:t>
      </w:r>
      <w:r w:rsidR="001E7405">
        <w:rPr>
          <w:rFonts w:eastAsia="Times New Roman" w:cs="Times New Roman"/>
          <w:color w:val="000000"/>
        </w:rPr>
        <w:t>Liṅgāyat</w:t>
      </w:r>
      <w:r>
        <w:rPr>
          <w:rFonts w:eastAsia="Times New Roman" w:cs="Times New Roman"/>
          <w:color w:val="000000"/>
        </w:rPr>
        <w:t>s</w:t>
      </w:r>
      <w:proofErr w:type="spellEnd"/>
      <w:r w:rsidR="00442F44">
        <w:rPr>
          <w:rFonts w:eastAsia="Times New Roman" w:cs="Times New Roman"/>
          <w:color w:val="000000"/>
        </w:rPr>
        <w:t>’</w:t>
      </w:r>
      <w:r>
        <w:rPr>
          <w:rFonts w:eastAsia="Times New Roman" w:cs="Times New Roman"/>
          <w:color w:val="000000"/>
        </w:rPr>
        <w:t xml:space="preserve"> ritual participation in the Mysore court. That is to say, the place of </w:t>
      </w:r>
      <w:proofErr w:type="spellStart"/>
      <w:r>
        <w:rPr>
          <w:rFonts w:eastAsia="Times New Roman" w:cs="Times New Roman"/>
          <w:color w:val="000000"/>
        </w:rPr>
        <w:t>Liṅgāyatism</w:t>
      </w:r>
      <w:proofErr w:type="spellEnd"/>
      <w:r>
        <w:rPr>
          <w:rFonts w:eastAsia="Times New Roman" w:cs="Times New Roman"/>
          <w:color w:val="000000"/>
        </w:rPr>
        <w:t xml:space="preserve"> within the broader religious landscape was </w:t>
      </w:r>
      <w:r>
        <w:rPr>
          <w:rFonts w:eastAsia="Times New Roman" w:cs="Times New Roman"/>
          <w:color w:val="000000"/>
        </w:rPr>
        <w:lastRenderedPageBreak/>
        <w:t xml:space="preserve">determined by political </w:t>
      </w:r>
      <w:r w:rsidR="009F3379">
        <w:rPr>
          <w:rFonts w:eastAsia="Times New Roman" w:cs="Times New Roman"/>
          <w:color w:val="000000"/>
        </w:rPr>
        <w:t>concerns</w:t>
      </w:r>
      <w:r w:rsidR="009F3379">
        <w:rPr>
          <w:rFonts w:eastAsia="Times New Roman" w:cs="Times New Roman"/>
          <w:color w:val="000000"/>
        </w:rPr>
        <w:t xml:space="preserve"> </w:t>
      </w:r>
      <w:r>
        <w:rPr>
          <w:rFonts w:eastAsia="Times New Roman" w:cs="Times New Roman"/>
          <w:color w:val="000000"/>
        </w:rPr>
        <w:t xml:space="preserve">relative to where the </w:t>
      </w:r>
      <w:proofErr w:type="spellStart"/>
      <w:r w:rsidR="00BA1800">
        <w:rPr>
          <w:rFonts w:eastAsia="Times New Roman" w:cs="Times New Roman"/>
          <w:color w:val="000000"/>
        </w:rPr>
        <w:t>Liṅgāyat</w:t>
      </w:r>
      <w:proofErr w:type="spellEnd"/>
      <w:r>
        <w:rPr>
          <w:rFonts w:eastAsia="Times New Roman" w:cs="Times New Roman"/>
          <w:color w:val="000000"/>
        </w:rPr>
        <w:t xml:space="preserve"> community fit into </w:t>
      </w:r>
      <w:r w:rsidR="009F3379">
        <w:rPr>
          <w:rFonts w:eastAsia="Times New Roman" w:cs="Times New Roman"/>
          <w:color w:val="000000"/>
        </w:rPr>
        <w:t>a</w:t>
      </w:r>
      <w:r w:rsidR="009F3379">
        <w:rPr>
          <w:rFonts w:eastAsia="Times New Roman" w:cs="Times New Roman"/>
          <w:color w:val="000000"/>
        </w:rPr>
        <w:t xml:space="preserve"> </w:t>
      </w:r>
      <w:r>
        <w:rPr>
          <w:rFonts w:eastAsia="Times New Roman" w:cs="Times New Roman"/>
          <w:color w:val="000000"/>
        </w:rPr>
        <w:t xml:space="preserve">political agenda, long before contemporary contentions over the place of religion and religious groups within democratic Indian politics. </w:t>
      </w:r>
      <w:commentRangeStart w:id="6"/>
      <w:commentRangeEnd w:id="6"/>
      <w:r>
        <w:commentReference w:id="6"/>
      </w:r>
    </w:p>
    <w:p w14:paraId="61F7254D" w14:textId="43A92C17"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I ground my discussion in </w:t>
      </w:r>
      <w:r w:rsidR="009F3379">
        <w:rPr>
          <w:rFonts w:eastAsia="Times New Roman" w:cs="Times New Roman"/>
          <w:color w:val="000000"/>
        </w:rPr>
        <w:t>narratives surrounding two rebellions</w:t>
      </w:r>
      <w:r>
        <w:rPr>
          <w:rFonts w:eastAsia="Times New Roman" w:cs="Times New Roman"/>
          <w:color w:val="000000"/>
        </w:rPr>
        <w:t xml:space="preserve">-century Karnataka, particularly in the kingdom of Mysore that lies in the southern portion of the modern Indian state of Karnataka. By this time, </w:t>
      </w:r>
      <w:proofErr w:type="spellStart"/>
      <w:r>
        <w:rPr>
          <w:rFonts w:eastAsia="Times New Roman" w:cs="Times New Roman"/>
          <w:color w:val="000000"/>
        </w:rPr>
        <w:t>Liṅgāyatism</w:t>
      </w:r>
      <w:proofErr w:type="spellEnd"/>
      <w:r>
        <w:rPr>
          <w:rFonts w:eastAsia="Times New Roman" w:cs="Times New Roman"/>
          <w:color w:val="000000"/>
        </w:rPr>
        <w:t xml:space="preserve"> was well</w:t>
      </w:r>
      <w:r w:rsidR="00442F44">
        <w:rPr>
          <w:rFonts w:eastAsia="Times New Roman" w:cs="Times New Roman"/>
          <w:color w:val="000000"/>
        </w:rPr>
        <w:t xml:space="preserve"> </w:t>
      </w:r>
      <w:r>
        <w:rPr>
          <w:rFonts w:eastAsia="Times New Roman" w:cs="Times New Roman"/>
          <w:color w:val="000000"/>
        </w:rPr>
        <w:t xml:space="preserve">established and had matured as both a religious tradition (including established temples, unique rituals, powerful </w:t>
      </w:r>
      <w:commentRangeStart w:id="7"/>
      <w:proofErr w:type="spellStart"/>
      <w:r>
        <w:rPr>
          <w:rFonts w:eastAsia="Times New Roman" w:cs="Times New Roman"/>
          <w:i/>
          <w:iCs/>
          <w:color w:val="000000"/>
        </w:rPr>
        <w:t>maṭha</w:t>
      </w:r>
      <w:r w:rsidRPr="00320622">
        <w:rPr>
          <w:rFonts w:eastAsia="Times New Roman" w:cs="Times New Roman"/>
          <w:color w:val="000000"/>
        </w:rPr>
        <w:t>s</w:t>
      </w:r>
      <w:commentRangeEnd w:id="7"/>
      <w:proofErr w:type="spellEnd"/>
      <w:r w:rsidR="003A4ECF">
        <w:rPr>
          <w:rStyle w:val="CommentReference"/>
        </w:rPr>
        <w:commentReference w:id="7"/>
      </w:r>
      <w:r w:rsidR="001E7405">
        <w:rPr>
          <w:rFonts w:eastAsia="Times New Roman" w:cs="Times New Roman"/>
          <w:color w:val="000000"/>
        </w:rPr>
        <w:t xml:space="preserve"> or</w:t>
      </w:r>
      <w:r>
        <w:rPr>
          <w:rFonts w:eastAsia="Times New Roman" w:cs="Times New Roman"/>
          <w:color w:val="000000"/>
        </w:rPr>
        <w:t>, and institutional hierarchies) and as a caste identity</w:t>
      </w:r>
      <w:r w:rsidR="002065CE">
        <w:rPr>
          <w:rFonts w:eastAsia="Times New Roman" w:cs="Times New Roman"/>
          <w:color w:val="000000"/>
        </w:rPr>
        <w:t xml:space="preserve">. </w:t>
      </w:r>
      <w:r>
        <w:rPr>
          <w:rFonts w:eastAsia="Times New Roman" w:cs="Times New Roman"/>
          <w:color w:val="000000"/>
        </w:rPr>
        <w:t xml:space="preserve">To draw out the precarious history of </w:t>
      </w:r>
      <w:proofErr w:type="spellStart"/>
      <w:r>
        <w:rPr>
          <w:rFonts w:eastAsia="Times New Roman" w:cs="Times New Roman"/>
          <w:color w:val="000000"/>
        </w:rPr>
        <w:t>Liṅgāyatism</w:t>
      </w:r>
      <w:proofErr w:type="spellEnd"/>
      <w:r>
        <w:rPr>
          <w:rFonts w:eastAsia="Times New Roman" w:cs="Times New Roman"/>
          <w:color w:val="000000"/>
        </w:rPr>
        <w:t xml:space="preserve"> in the context of burgeoning modernity, I focus on two cases of rebellion against the Mysore court</w:t>
      </w:r>
      <w:r w:rsidR="00516810">
        <w:rPr>
          <w:rFonts w:eastAsia="Times New Roman" w:cs="Times New Roman"/>
          <w:color w:val="000000"/>
        </w:rPr>
        <w:t xml:space="preserve"> </w:t>
      </w:r>
      <w:r>
        <w:rPr>
          <w:rFonts w:eastAsia="Times New Roman" w:cs="Times New Roman"/>
          <w:color w:val="000000"/>
        </w:rPr>
        <w:t xml:space="preserve">by communities of </w:t>
      </w:r>
      <w:proofErr w:type="spellStart"/>
      <w:r>
        <w:rPr>
          <w:rFonts w:eastAsia="Times New Roman" w:cs="Times New Roman"/>
          <w:color w:val="000000"/>
        </w:rPr>
        <w:t>V</w:t>
      </w:r>
      <w:r w:rsidR="00516810">
        <w:rPr>
          <w:rFonts w:eastAsia="Times New Roman" w:cs="Times New Roman"/>
          <w:color w:val="000000"/>
        </w:rPr>
        <w:t>ī</w:t>
      </w:r>
      <w:r>
        <w:rPr>
          <w:rFonts w:eastAsia="Times New Roman" w:cs="Times New Roman"/>
          <w:color w:val="000000"/>
        </w:rPr>
        <w:t>raśaiva-</w:t>
      </w:r>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in which the tradition and its leaders were the focus of political contention. </w:t>
      </w:r>
      <w:commentRangeStart w:id="8"/>
      <w:r w:rsidR="00516810">
        <w:rPr>
          <w:rFonts w:eastAsia="Times New Roman" w:cs="Times New Roman"/>
          <w:color w:val="000000"/>
        </w:rPr>
        <w:t>One</w:t>
      </w:r>
      <w:commentRangeEnd w:id="8"/>
      <w:r w:rsidR="00516810">
        <w:rPr>
          <w:rStyle w:val="CommentReference"/>
        </w:rPr>
        <w:commentReference w:id="8"/>
      </w:r>
      <w:r w:rsidR="00516810">
        <w:rPr>
          <w:rFonts w:eastAsia="Times New Roman" w:cs="Times New Roman"/>
          <w:color w:val="000000"/>
        </w:rPr>
        <w:t xml:space="preserve"> of these cases was set in the late seventeen</w:t>
      </w:r>
      <w:r w:rsidR="00516810" w:rsidRPr="001C48C1">
        <w:rPr>
          <w:rFonts w:eastAsia="Times New Roman" w:cs="Times New Roman"/>
          <w:color w:val="000000"/>
        </w:rPr>
        <w:t>th</w:t>
      </w:r>
      <w:r w:rsidR="00516810">
        <w:rPr>
          <w:rFonts w:eastAsia="Times New Roman" w:cs="Times New Roman"/>
          <w:color w:val="000000"/>
        </w:rPr>
        <w:t xml:space="preserve"> century, one in the early nineteen</w:t>
      </w:r>
      <w:r w:rsidR="00516810" w:rsidRPr="001C48C1">
        <w:rPr>
          <w:rFonts w:eastAsia="Times New Roman" w:cs="Times New Roman"/>
          <w:color w:val="000000"/>
        </w:rPr>
        <w:t>th</w:t>
      </w:r>
      <w:r w:rsidR="00516810">
        <w:rPr>
          <w:rFonts w:eastAsia="Times New Roman" w:cs="Times New Roman"/>
          <w:color w:val="000000"/>
        </w:rPr>
        <w:t xml:space="preserve"> century,</w:t>
      </w:r>
      <w:r w:rsidR="00516810">
        <w:rPr>
          <w:rFonts w:eastAsia="Times New Roman" w:cs="Times New Roman"/>
          <w:color w:val="000000"/>
          <w:vertAlign w:val="superscript"/>
        </w:rPr>
        <w:t xml:space="preserve"> </w:t>
      </w:r>
      <w:r w:rsidR="00516810">
        <w:rPr>
          <w:rFonts w:eastAsia="Times New Roman" w:cs="Times New Roman"/>
          <w:color w:val="000000"/>
        </w:rPr>
        <w:t>but both were written about in the nineteen</w:t>
      </w:r>
      <w:r w:rsidR="00516810" w:rsidRPr="001C48C1">
        <w:rPr>
          <w:rFonts w:ascii="x" w:eastAsia="Times New Roman" w:hAnsi="x" w:cs="Times New Roman"/>
          <w:color w:val="000000"/>
        </w:rPr>
        <w:t>th</w:t>
      </w:r>
      <w:r w:rsidR="00516810">
        <w:rPr>
          <w:rFonts w:eastAsia="Times New Roman" w:cs="Times New Roman"/>
          <w:color w:val="000000"/>
        </w:rPr>
        <w:t xml:space="preserve"> century. </w:t>
      </w:r>
      <w:r>
        <w:rPr>
          <w:rFonts w:eastAsia="Times New Roman" w:cs="Times New Roman"/>
          <w:color w:val="000000"/>
        </w:rPr>
        <w:t xml:space="preserve">Through these case studies, I hope to show how the </w:t>
      </w:r>
      <w:proofErr w:type="spellStart"/>
      <w:r w:rsidR="00BA1800">
        <w:rPr>
          <w:rFonts w:eastAsia="Times New Roman" w:cs="Times New Roman"/>
          <w:color w:val="000000"/>
        </w:rPr>
        <w:t>Liṅgāyat</w:t>
      </w:r>
      <w:proofErr w:type="spellEnd"/>
      <w:r>
        <w:rPr>
          <w:rFonts w:eastAsia="Times New Roman" w:cs="Times New Roman"/>
          <w:color w:val="000000"/>
        </w:rPr>
        <w:t xml:space="preserve"> religious beliefs and practices had little bearing upon their acceptance into the fold of </w:t>
      </w:r>
      <w:commentRangeStart w:id="9"/>
      <w:r>
        <w:rPr>
          <w:rFonts w:eastAsia="Times New Roman" w:cs="Times New Roman"/>
          <w:color w:val="000000"/>
        </w:rPr>
        <w:t>religious</w:t>
      </w:r>
      <w:commentRangeEnd w:id="9"/>
      <w:r w:rsidR="00516810">
        <w:rPr>
          <w:rStyle w:val="CommentReference"/>
        </w:rPr>
        <w:commentReference w:id="9"/>
      </w:r>
      <w:r>
        <w:rPr>
          <w:rFonts w:eastAsia="Times New Roman" w:cs="Times New Roman"/>
          <w:color w:val="000000"/>
        </w:rPr>
        <w:t xml:space="preserve"> traditions of </w:t>
      </w:r>
      <w:r w:rsidR="00566DE7">
        <w:rPr>
          <w:rFonts w:eastAsia="Times New Roman" w:cs="Times New Roman"/>
          <w:color w:val="000000"/>
        </w:rPr>
        <w:t xml:space="preserve">the Mysore court or its </w:t>
      </w:r>
      <w:r>
        <w:rPr>
          <w:rFonts w:eastAsia="Times New Roman" w:cs="Times New Roman"/>
          <w:color w:val="000000"/>
        </w:rPr>
        <w:t xml:space="preserve">political favor. Instead, their status as insiders or outsiders was prescribed and enacted upon them as a measure of political expediency. </w:t>
      </w:r>
    </w:p>
    <w:p w14:paraId="615EDCAD" w14:textId="22723969"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The case of </w:t>
      </w:r>
      <w:proofErr w:type="spellStart"/>
      <w:r>
        <w:rPr>
          <w:rFonts w:eastAsia="Times New Roman" w:cs="Times New Roman"/>
          <w:color w:val="000000"/>
        </w:rPr>
        <w:t>Vīraśaiva-Liṅgāyatism</w:t>
      </w:r>
      <w:proofErr w:type="spellEnd"/>
      <w:r>
        <w:rPr>
          <w:rFonts w:eastAsia="Times New Roman" w:cs="Times New Roman"/>
          <w:color w:val="000000"/>
        </w:rPr>
        <w:t xml:space="preserve"> </w:t>
      </w:r>
      <w:r w:rsidR="009F3379">
        <w:rPr>
          <w:rFonts w:eastAsia="Times New Roman" w:cs="Times New Roman"/>
          <w:color w:val="000000"/>
        </w:rPr>
        <w:t xml:space="preserve">in nineteenth-century histories </w:t>
      </w:r>
      <w:r>
        <w:rPr>
          <w:rFonts w:eastAsia="Times New Roman" w:cs="Times New Roman"/>
          <w:color w:val="000000"/>
        </w:rPr>
        <w:t xml:space="preserve">allows us the opportunity to examine the negotiations of identities and how blurry lines of identity, practice, and belief come to form rigid boundaries that separate one group from the next, a process that seems to be as inherent to the category of religion/religions as any other practice, belief, or spiritual pursuit. I suggest, much like Orsi (2005), </w:t>
      </w:r>
      <w:proofErr w:type="spellStart"/>
      <w:r>
        <w:rPr>
          <w:rFonts w:eastAsia="Times New Roman" w:cs="Times New Roman"/>
          <w:color w:val="000000"/>
        </w:rPr>
        <w:t>Chidester</w:t>
      </w:r>
      <w:proofErr w:type="spellEnd"/>
      <w:r>
        <w:rPr>
          <w:rFonts w:eastAsia="Times New Roman" w:cs="Times New Roman"/>
          <w:color w:val="000000"/>
        </w:rPr>
        <w:t xml:space="preserve"> (1996), </w:t>
      </w:r>
      <w:r w:rsidR="00216D93">
        <w:rPr>
          <w:rFonts w:eastAsia="Times New Roman" w:cs="Times New Roman"/>
          <w:color w:val="000000"/>
        </w:rPr>
        <w:t xml:space="preserve">and </w:t>
      </w:r>
      <w:proofErr w:type="spellStart"/>
      <w:r>
        <w:rPr>
          <w:rFonts w:eastAsia="Times New Roman" w:cs="Times New Roman"/>
          <w:color w:val="000000"/>
        </w:rPr>
        <w:t>Boyarin</w:t>
      </w:r>
      <w:proofErr w:type="spellEnd"/>
      <w:r>
        <w:rPr>
          <w:rFonts w:eastAsia="Times New Roman" w:cs="Times New Roman"/>
          <w:color w:val="000000"/>
        </w:rPr>
        <w:t xml:space="preserve"> (2004) before me, that rigid distinction</w:t>
      </w:r>
      <w:r w:rsidR="00216D93">
        <w:rPr>
          <w:rFonts w:eastAsia="Times New Roman" w:cs="Times New Roman"/>
          <w:color w:val="000000"/>
        </w:rPr>
        <w:t>s</w:t>
      </w:r>
      <w:r>
        <w:rPr>
          <w:rFonts w:eastAsia="Times New Roman" w:cs="Times New Roman"/>
          <w:color w:val="000000"/>
        </w:rPr>
        <w:t xml:space="preserve"> between religious traditions are not </w:t>
      </w:r>
      <w:r>
        <w:rPr>
          <w:rFonts w:eastAsia="Times New Roman" w:cs="Times New Roman"/>
          <w:color w:val="000000"/>
        </w:rPr>
        <w:lastRenderedPageBreak/>
        <w:t>natural but imposed from the outside as a means to control, isolate, and/or demean the other.</w:t>
      </w:r>
      <w:commentRangeStart w:id="10"/>
      <w:commentRangeEnd w:id="10"/>
      <w:r>
        <w:commentReference w:id="10"/>
      </w:r>
      <w:r>
        <w:rPr>
          <w:rFonts w:eastAsia="Times New Roman" w:cs="Times New Roman"/>
          <w:color w:val="000000"/>
        </w:rPr>
        <w:t xml:space="preserve"> Likewise, in the case of early modern and early colonial </w:t>
      </w:r>
      <w:proofErr w:type="spellStart"/>
      <w:r>
        <w:rPr>
          <w:rFonts w:eastAsia="Times New Roman" w:cs="Times New Roman"/>
          <w:color w:val="000000"/>
        </w:rPr>
        <w:t>Vīraśaiva-Liṅgāyatism</w:t>
      </w:r>
      <w:proofErr w:type="spellEnd"/>
      <w:r>
        <w:rPr>
          <w:rFonts w:eastAsia="Times New Roman" w:cs="Times New Roman"/>
          <w:color w:val="000000"/>
        </w:rPr>
        <w:t xml:space="preserve">, the </w:t>
      </w:r>
      <w:commentRangeStart w:id="11"/>
      <w:r>
        <w:rPr>
          <w:rFonts w:eastAsia="Times New Roman" w:cs="Times New Roman"/>
          <w:color w:val="000000"/>
        </w:rPr>
        <w:t xml:space="preserve">inclusion and exclusion </w:t>
      </w:r>
      <w:commentRangeEnd w:id="11"/>
      <w:r w:rsidR="00216D93">
        <w:rPr>
          <w:rStyle w:val="CommentReference"/>
        </w:rPr>
        <w:commentReference w:id="11"/>
      </w:r>
      <w:r>
        <w:rPr>
          <w:rFonts w:eastAsia="Times New Roman" w:cs="Times New Roman"/>
          <w:color w:val="000000"/>
        </w:rPr>
        <w:t>of the tradition</w:t>
      </w:r>
      <w:r w:rsidR="00566DE7">
        <w:rPr>
          <w:rFonts w:eastAsia="Times New Roman" w:cs="Times New Roman"/>
          <w:color w:val="000000"/>
        </w:rPr>
        <w:t xml:space="preserve"> from positions within the Mysore court</w:t>
      </w:r>
      <w:r>
        <w:rPr>
          <w:rFonts w:eastAsia="Times New Roman" w:cs="Times New Roman"/>
          <w:color w:val="000000"/>
        </w:rPr>
        <w:t xml:space="preserve"> was imposed by the politically strong upon the politically vulnerable, and whether they were “in” or “out” was not simply a theological parting of ways. Instead, minority religious identity was decided by the political elite as they worked to consolidate their own political identities.</w:t>
      </w:r>
    </w:p>
    <w:p w14:paraId="0F44D3A9" w14:textId="77777777" w:rsidR="00A63A65" w:rsidRDefault="00A63A65">
      <w:pPr>
        <w:spacing w:line="480" w:lineRule="auto"/>
        <w:rPr>
          <w:rFonts w:eastAsia="Times New Roman" w:cs="Times New Roman"/>
          <w:color w:val="000000"/>
        </w:rPr>
      </w:pPr>
    </w:p>
    <w:p w14:paraId="5E78A2B4" w14:textId="4BEADCE1" w:rsidR="00A63A65" w:rsidRDefault="00F418F6">
      <w:pPr>
        <w:spacing w:line="480" w:lineRule="auto"/>
        <w:rPr>
          <w:rFonts w:eastAsia="Times New Roman" w:cs="Times New Roman"/>
          <w:b/>
          <w:bCs/>
          <w:i/>
          <w:iCs/>
          <w:color w:val="000000"/>
        </w:rPr>
      </w:pPr>
      <w:proofErr w:type="spellStart"/>
      <w:r w:rsidRPr="00F418F6">
        <w:rPr>
          <w:rFonts w:eastAsia="Times New Roman" w:cs="Times New Roman"/>
          <w:b/>
          <w:bCs/>
          <w:i/>
          <w:iCs/>
          <w:color w:val="000000"/>
        </w:rPr>
        <w:t>Cikkadēvarāj</w:t>
      </w:r>
      <w:proofErr w:type="spellEnd"/>
      <w:r>
        <w:rPr>
          <w:rFonts w:eastAsia="Times New Roman" w:cs="Times New Roman"/>
          <w:b/>
          <w:bCs/>
          <w:i/>
          <w:iCs/>
          <w:color w:val="000000"/>
        </w:rPr>
        <w:t xml:space="preserve"> and Religion in the </w:t>
      </w:r>
      <w:r w:rsidR="00566DE7">
        <w:rPr>
          <w:rFonts w:eastAsia="Times New Roman" w:cs="Times New Roman"/>
          <w:b/>
          <w:bCs/>
          <w:i/>
          <w:iCs/>
          <w:color w:val="000000"/>
        </w:rPr>
        <w:t xml:space="preserve">Mysore Court </w:t>
      </w:r>
      <w:r w:rsidR="00566DE7" w:rsidRPr="00566DE7">
        <w:rPr>
          <w:rFonts w:eastAsia="Times New Roman" w:cs="Times New Roman"/>
          <w:b/>
          <w:bCs/>
          <w:i/>
          <w:iCs/>
          <w:color w:val="000000"/>
        </w:rPr>
        <w:t>in Seventeenth-Century Sources</w:t>
      </w:r>
    </w:p>
    <w:p w14:paraId="5506C8F4" w14:textId="1773903F" w:rsidR="00A63A65" w:rsidRDefault="00000000">
      <w:pPr>
        <w:spacing w:line="480" w:lineRule="auto"/>
        <w:ind w:firstLine="720"/>
        <w:rPr>
          <w:sz w:val="23"/>
          <w:szCs w:val="23"/>
        </w:rPr>
      </w:pPr>
      <w:r>
        <w:rPr>
          <w:sz w:val="23"/>
          <w:szCs w:val="23"/>
        </w:rPr>
        <w:t xml:space="preserve">In the vacuum of political power in the Deccan created by the decline of the Adil Shahi Sultanate, Cikkadēvarāja ascended the throne of Mysore in </w:t>
      </w:r>
      <w:bookmarkStart w:id="12" w:name="_Hlk149913368"/>
      <w:r>
        <w:rPr>
          <w:sz w:val="23"/>
          <w:szCs w:val="23"/>
        </w:rPr>
        <w:t>1673</w:t>
      </w:r>
      <w:r>
        <w:rPr>
          <w:rFonts w:eastAsia="Times New Roman" w:cs="Times New Roman"/>
          <w:smallCaps/>
          <w:color w:val="000000"/>
        </w:rPr>
        <w:t xml:space="preserve"> </w:t>
      </w:r>
      <w:proofErr w:type="spellStart"/>
      <w:r>
        <w:rPr>
          <w:rFonts w:eastAsia="Times New Roman" w:cs="Times New Roman"/>
          <w:smallCaps/>
          <w:color w:val="000000"/>
        </w:rPr>
        <w:t>ce</w:t>
      </w:r>
      <w:bookmarkEnd w:id="12"/>
      <w:proofErr w:type="spellEnd"/>
      <w:r>
        <w:rPr>
          <w:rFonts w:eastAsia="Times New Roman" w:cs="Times New Roman"/>
          <w:smallCaps/>
          <w:color w:val="000000"/>
        </w:rPr>
        <w:t>,</w:t>
      </w:r>
      <w:r>
        <w:rPr>
          <w:sz w:val="23"/>
          <w:szCs w:val="23"/>
        </w:rPr>
        <w:t xml:space="preserve"> unthreatened by the Mysore kingdom’s rivals in Bijapur. Cikkadēvarāja strengthened diplomatic relations with the Mughal emperor Alamgir (Aurangzeb) and his general </w:t>
      </w:r>
      <w:proofErr w:type="spellStart"/>
      <w:r>
        <w:rPr>
          <w:sz w:val="23"/>
          <w:szCs w:val="23"/>
        </w:rPr>
        <w:t>Qasim</w:t>
      </w:r>
      <w:proofErr w:type="spellEnd"/>
      <w:r>
        <w:rPr>
          <w:sz w:val="23"/>
          <w:szCs w:val="23"/>
        </w:rPr>
        <w:t xml:space="preserve"> </w:t>
      </w:r>
      <w:proofErr w:type="spellStart"/>
      <w:r>
        <w:rPr>
          <w:sz w:val="23"/>
          <w:szCs w:val="23"/>
        </w:rPr>
        <w:t>Khān</w:t>
      </w:r>
      <w:proofErr w:type="spellEnd"/>
      <w:r>
        <w:rPr>
          <w:sz w:val="23"/>
          <w:szCs w:val="23"/>
        </w:rPr>
        <w:t xml:space="preserve">. Simultaneously, </w:t>
      </w:r>
      <w:proofErr w:type="spellStart"/>
      <w:r>
        <w:rPr>
          <w:sz w:val="23"/>
          <w:szCs w:val="23"/>
        </w:rPr>
        <w:t>Cikkadēvarāja</w:t>
      </w:r>
      <w:proofErr w:type="spellEnd"/>
      <w:r>
        <w:rPr>
          <w:sz w:val="23"/>
          <w:szCs w:val="23"/>
        </w:rPr>
        <w:t xml:space="preserve"> defended his kingdom against repeated incursions by the Maratha rulers, including </w:t>
      </w:r>
      <w:proofErr w:type="spellStart"/>
      <w:r>
        <w:rPr>
          <w:sz w:val="23"/>
          <w:szCs w:val="23"/>
        </w:rPr>
        <w:t>Śivajī</w:t>
      </w:r>
      <w:proofErr w:type="spellEnd"/>
      <w:r>
        <w:rPr>
          <w:sz w:val="23"/>
          <w:szCs w:val="23"/>
        </w:rPr>
        <w:t xml:space="preserve"> and his son </w:t>
      </w:r>
      <w:proofErr w:type="spellStart"/>
      <w:r>
        <w:rPr>
          <w:sz w:val="23"/>
          <w:szCs w:val="23"/>
        </w:rPr>
        <w:t>Śambhājī</w:t>
      </w:r>
      <w:proofErr w:type="spellEnd"/>
      <w:r>
        <w:rPr>
          <w:sz w:val="23"/>
          <w:szCs w:val="23"/>
        </w:rPr>
        <w:t xml:space="preserve">. </w:t>
      </w:r>
      <w:proofErr w:type="spellStart"/>
      <w:r>
        <w:rPr>
          <w:sz w:val="23"/>
          <w:szCs w:val="23"/>
        </w:rPr>
        <w:t>Cikkadēvarāja</w:t>
      </w:r>
      <w:proofErr w:type="spellEnd"/>
      <w:r>
        <w:rPr>
          <w:sz w:val="23"/>
          <w:szCs w:val="23"/>
        </w:rPr>
        <w:t xml:space="preserve"> not only repelled the Marathas but expanded the Mysore territories (</w:t>
      </w:r>
      <w:commentRangeStart w:id="13"/>
      <w:proofErr w:type="spellStart"/>
      <w:r>
        <w:rPr>
          <w:i/>
          <w:iCs/>
          <w:sz w:val="23"/>
          <w:szCs w:val="23"/>
        </w:rPr>
        <w:t>Cikkadēvarāya</w:t>
      </w:r>
      <w:proofErr w:type="spellEnd"/>
      <w:r>
        <w:rPr>
          <w:i/>
          <w:iCs/>
          <w:sz w:val="23"/>
          <w:szCs w:val="23"/>
        </w:rPr>
        <w:t xml:space="preserve"> </w:t>
      </w:r>
      <w:proofErr w:type="spellStart"/>
      <w:r>
        <w:rPr>
          <w:i/>
          <w:iCs/>
          <w:sz w:val="23"/>
          <w:szCs w:val="23"/>
        </w:rPr>
        <w:t>Binnapam</w:t>
      </w:r>
      <w:commentRangeEnd w:id="13"/>
      <w:proofErr w:type="spellEnd"/>
      <w:r w:rsidR="00216D93">
        <w:rPr>
          <w:rStyle w:val="CommentReference"/>
        </w:rPr>
        <w:commentReference w:id="13"/>
      </w:r>
      <w:r>
        <w:rPr>
          <w:i/>
          <w:iCs/>
          <w:sz w:val="23"/>
          <w:szCs w:val="23"/>
        </w:rPr>
        <w:t xml:space="preserve"> </w:t>
      </w:r>
      <w:r>
        <w:rPr>
          <w:sz w:val="23"/>
          <w:szCs w:val="23"/>
        </w:rPr>
        <w:t>v. 4</w:t>
      </w:r>
      <w:r w:rsidR="003A4ECF">
        <w:rPr>
          <w:sz w:val="23"/>
          <w:szCs w:val="23"/>
        </w:rPr>
        <w:t>–</w:t>
      </w:r>
      <w:r>
        <w:rPr>
          <w:sz w:val="23"/>
          <w:szCs w:val="23"/>
        </w:rPr>
        <w:t xml:space="preserve">5; </w:t>
      </w:r>
      <w:proofErr w:type="spellStart"/>
      <w:r>
        <w:rPr>
          <w:sz w:val="23"/>
          <w:szCs w:val="23"/>
        </w:rPr>
        <w:t>Wadayar</w:t>
      </w:r>
      <w:proofErr w:type="spellEnd"/>
      <w:r>
        <w:rPr>
          <w:sz w:val="23"/>
          <w:szCs w:val="23"/>
        </w:rPr>
        <w:t xml:space="preserve"> 1949, 1</w:t>
      </w:r>
      <w:r w:rsidR="00216D93">
        <w:rPr>
          <w:sz w:val="23"/>
          <w:szCs w:val="23"/>
        </w:rPr>
        <w:t>–</w:t>
      </w:r>
      <w:r>
        <w:rPr>
          <w:sz w:val="23"/>
          <w:szCs w:val="23"/>
        </w:rPr>
        <w:t xml:space="preserve">5; </w:t>
      </w:r>
      <w:commentRangeStart w:id="14"/>
      <w:r>
        <w:rPr>
          <w:i/>
          <w:iCs/>
          <w:sz w:val="23"/>
          <w:szCs w:val="23"/>
        </w:rPr>
        <w:t xml:space="preserve">REC </w:t>
      </w:r>
      <w:proofErr w:type="spellStart"/>
      <w:r>
        <w:rPr>
          <w:sz w:val="23"/>
          <w:szCs w:val="23"/>
        </w:rPr>
        <w:t>My</w:t>
      </w:r>
      <w:proofErr w:type="spellEnd"/>
      <w:r>
        <w:rPr>
          <w:sz w:val="23"/>
          <w:szCs w:val="23"/>
        </w:rPr>
        <w:t>. 99</w:t>
      </w:r>
      <w:commentRangeEnd w:id="14"/>
      <w:r w:rsidR="00216D93">
        <w:rPr>
          <w:rStyle w:val="CommentReference"/>
        </w:rPr>
        <w:commentReference w:id="14"/>
      </w:r>
      <w:r>
        <w:rPr>
          <w:sz w:val="23"/>
          <w:szCs w:val="23"/>
        </w:rPr>
        <w:t xml:space="preserve">). For his efforts, </w:t>
      </w:r>
      <w:proofErr w:type="spellStart"/>
      <w:r>
        <w:rPr>
          <w:sz w:val="23"/>
          <w:szCs w:val="23"/>
        </w:rPr>
        <w:t>Cikkadēvarāja’s</w:t>
      </w:r>
      <w:proofErr w:type="spellEnd"/>
      <w:r>
        <w:rPr>
          <w:sz w:val="23"/>
          <w:szCs w:val="23"/>
        </w:rPr>
        <w:t xml:space="preserve"> royal chronicler and court poet </w:t>
      </w:r>
      <w:bookmarkStart w:id="15" w:name="_Hlk149913732"/>
      <w:proofErr w:type="spellStart"/>
      <w:r>
        <w:rPr>
          <w:sz w:val="23"/>
          <w:szCs w:val="23"/>
        </w:rPr>
        <w:t>Tirumalārya</w:t>
      </w:r>
      <w:proofErr w:type="spellEnd"/>
      <w:r>
        <w:rPr>
          <w:sz w:val="23"/>
          <w:szCs w:val="23"/>
        </w:rPr>
        <w:t xml:space="preserve"> </w:t>
      </w:r>
      <w:bookmarkEnd w:id="15"/>
      <w:r>
        <w:rPr>
          <w:sz w:val="23"/>
          <w:szCs w:val="23"/>
        </w:rPr>
        <w:t>bestowed upon him the epithet of “Unequalled Hero” (</w:t>
      </w:r>
      <w:proofErr w:type="spellStart"/>
      <w:r>
        <w:rPr>
          <w:i/>
          <w:iCs/>
          <w:sz w:val="23"/>
          <w:szCs w:val="23"/>
        </w:rPr>
        <w:t>apratima-vīra</w:t>
      </w:r>
      <w:proofErr w:type="spellEnd"/>
      <w:r>
        <w:rPr>
          <w:sz w:val="23"/>
          <w:szCs w:val="23"/>
        </w:rPr>
        <w:t xml:space="preserve">). </w:t>
      </w:r>
      <w:proofErr w:type="spellStart"/>
      <w:r>
        <w:rPr>
          <w:sz w:val="23"/>
          <w:szCs w:val="23"/>
        </w:rPr>
        <w:t>Cikkadēvarāja</w:t>
      </w:r>
      <w:proofErr w:type="spellEnd"/>
      <w:r>
        <w:rPr>
          <w:sz w:val="23"/>
          <w:szCs w:val="23"/>
        </w:rPr>
        <w:t xml:space="preserve"> ruled for </w:t>
      </w:r>
      <w:r w:rsidR="00A77722">
        <w:rPr>
          <w:sz w:val="23"/>
          <w:szCs w:val="23"/>
        </w:rPr>
        <w:t>thirty-two</w:t>
      </w:r>
      <w:r>
        <w:rPr>
          <w:sz w:val="23"/>
          <w:szCs w:val="23"/>
        </w:rPr>
        <w:t xml:space="preserve"> years, longer than any other Mysore king, enjoying a period of imperial control like no other </w:t>
      </w:r>
      <w:bookmarkStart w:id="16" w:name="_Hlk149913749"/>
      <w:commentRangeStart w:id="17"/>
      <w:r>
        <w:rPr>
          <w:sz w:val="23"/>
          <w:szCs w:val="23"/>
        </w:rPr>
        <w:t xml:space="preserve">Woḍeyar </w:t>
      </w:r>
      <w:commentRangeEnd w:id="17"/>
      <w:r w:rsidR="00A77722">
        <w:rPr>
          <w:rStyle w:val="CommentReference"/>
        </w:rPr>
        <w:commentReference w:id="17"/>
      </w:r>
      <w:bookmarkEnd w:id="16"/>
      <w:r>
        <w:rPr>
          <w:sz w:val="23"/>
          <w:szCs w:val="23"/>
        </w:rPr>
        <w:t xml:space="preserve">ruler before or after. While his rule is generally described as one of great peace and stability, the territory of Mysore was under continual onslaught from the </w:t>
      </w:r>
      <w:r w:rsidR="00E65D61">
        <w:rPr>
          <w:sz w:val="23"/>
          <w:szCs w:val="23"/>
        </w:rPr>
        <w:t>s</w:t>
      </w:r>
      <w:r>
        <w:rPr>
          <w:sz w:val="23"/>
          <w:szCs w:val="23"/>
        </w:rPr>
        <w:t xml:space="preserve">outh by the newly established </w:t>
      </w:r>
      <w:bookmarkStart w:id="18" w:name="_Hlk149913789"/>
      <w:r>
        <w:rPr>
          <w:sz w:val="23"/>
          <w:szCs w:val="23"/>
        </w:rPr>
        <w:t xml:space="preserve">Maratha </w:t>
      </w:r>
      <w:proofErr w:type="spellStart"/>
      <w:r>
        <w:rPr>
          <w:sz w:val="23"/>
          <w:szCs w:val="23"/>
        </w:rPr>
        <w:t>Nāyakas</w:t>
      </w:r>
      <w:proofErr w:type="spellEnd"/>
      <w:r>
        <w:rPr>
          <w:i/>
          <w:iCs/>
          <w:sz w:val="23"/>
          <w:szCs w:val="23"/>
        </w:rPr>
        <w:t xml:space="preserve"> </w:t>
      </w:r>
      <w:r>
        <w:rPr>
          <w:sz w:val="23"/>
          <w:szCs w:val="23"/>
        </w:rPr>
        <w:t xml:space="preserve">of Madurai </w:t>
      </w:r>
      <w:bookmarkEnd w:id="18"/>
      <w:r>
        <w:rPr>
          <w:sz w:val="23"/>
          <w:szCs w:val="23"/>
        </w:rPr>
        <w:t xml:space="preserve">and from the </w:t>
      </w:r>
      <w:r w:rsidR="00E65D61">
        <w:rPr>
          <w:sz w:val="23"/>
          <w:szCs w:val="23"/>
        </w:rPr>
        <w:t>n</w:t>
      </w:r>
      <w:r>
        <w:rPr>
          <w:sz w:val="23"/>
          <w:szCs w:val="23"/>
        </w:rPr>
        <w:t xml:space="preserve">orth by the </w:t>
      </w:r>
      <w:bookmarkStart w:id="19" w:name="_Hlk149913803"/>
      <w:proofErr w:type="spellStart"/>
      <w:r>
        <w:rPr>
          <w:sz w:val="23"/>
          <w:szCs w:val="23"/>
        </w:rPr>
        <w:t>Keḷadi</w:t>
      </w:r>
      <w:proofErr w:type="spellEnd"/>
      <w:r>
        <w:rPr>
          <w:sz w:val="23"/>
          <w:szCs w:val="23"/>
        </w:rPr>
        <w:t xml:space="preserve"> </w:t>
      </w:r>
      <w:proofErr w:type="spellStart"/>
      <w:r>
        <w:rPr>
          <w:sz w:val="23"/>
          <w:szCs w:val="23"/>
        </w:rPr>
        <w:t>rājas</w:t>
      </w:r>
      <w:proofErr w:type="spellEnd"/>
      <w:r>
        <w:rPr>
          <w:sz w:val="23"/>
          <w:szCs w:val="23"/>
        </w:rPr>
        <w:t xml:space="preserve"> of </w:t>
      </w:r>
      <w:proofErr w:type="spellStart"/>
      <w:r>
        <w:rPr>
          <w:sz w:val="23"/>
          <w:szCs w:val="23"/>
        </w:rPr>
        <w:t>Ikkēri</w:t>
      </w:r>
      <w:bookmarkEnd w:id="19"/>
      <w:proofErr w:type="spellEnd"/>
      <w:r>
        <w:rPr>
          <w:sz w:val="23"/>
          <w:szCs w:val="23"/>
        </w:rPr>
        <w:t xml:space="preserve">, to whom I will return. </w:t>
      </w:r>
    </w:p>
    <w:p w14:paraId="00581242" w14:textId="22622C6E" w:rsidR="00A63A65" w:rsidRDefault="00000000">
      <w:pPr>
        <w:spacing w:line="480" w:lineRule="auto"/>
        <w:ind w:firstLine="720"/>
        <w:rPr>
          <w:sz w:val="23"/>
          <w:szCs w:val="23"/>
        </w:rPr>
      </w:pPr>
      <w:r>
        <w:rPr>
          <w:sz w:val="23"/>
          <w:szCs w:val="23"/>
        </w:rPr>
        <w:lastRenderedPageBreak/>
        <w:t xml:space="preserve">Though the royal histories of the time and his many royal eulogies focused on his military exploits, Cikkadēvarāja was also lauded for </w:t>
      </w:r>
      <w:commentRangeStart w:id="20"/>
      <w:r>
        <w:rPr>
          <w:sz w:val="23"/>
          <w:szCs w:val="23"/>
        </w:rPr>
        <w:t xml:space="preserve">the </w:t>
      </w:r>
      <w:r w:rsidR="00F418F6">
        <w:rPr>
          <w:sz w:val="23"/>
          <w:szCs w:val="23"/>
        </w:rPr>
        <w:t>cementing</w:t>
      </w:r>
      <w:r>
        <w:rPr>
          <w:sz w:val="23"/>
          <w:szCs w:val="23"/>
        </w:rPr>
        <w:t xml:space="preserve"> </w:t>
      </w:r>
      <w:proofErr w:type="spellStart"/>
      <w:r>
        <w:rPr>
          <w:sz w:val="23"/>
          <w:szCs w:val="23"/>
        </w:rPr>
        <w:t>Śrī</w:t>
      </w:r>
      <w:proofErr w:type="spellEnd"/>
      <w:r>
        <w:rPr>
          <w:sz w:val="23"/>
          <w:szCs w:val="23"/>
        </w:rPr>
        <w:t xml:space="preserve"> </w:t>
      </w:r>
      <w:proofErr w:type="spellStart"/>
      <w:r>
        <w:rPr>
          <w:sz w:val="23"/>
          <w:szCs w:val="23"/>
        </w:rPr>
        <w:t>Vaiṣṇavism</w:t>
      </w:r>
      <w:proofErr w:type="spellEnd"/>
      <w:r>
        <w:rPr>
          <w:sz w:val="23"/>
          <w:szCs w:val="23"/>
        </w:rPr>
        <w:t xml:space="preserve"> </w:t>
      </w:r>
      <w:r w:rsidR="00F418F6">
        <w:rPr>
          <w:sz w:val="23"/>
          <w:szCs w:val="23"/>
        </w:rPr>
        <w:t>as the official tradition of the Mysore rulers</w:t>
      </w:r>
      <w:r>
        <w:rPr>
          <w:sz w:val="23"/>
          <w:szCs w:val="23"/>
        </w:rPr>
        <w:t xml:space="preserve"> during his reign</w:t>
      </w:r>
      <w:commentRangeEnd w:id="20"/>
      <w:r>
        <w:commentReference w:id="20"/>
      </w:r>
      <w:r>
        <w:rPr>
          <w:sz w:val="23"/>
          <w:szCs w:val="23"/>
        </w:rPr>
        <w:t xml:space="preserve">. Indeed, his first major act of patronage in 1674 was the construction of a temple at </w:t>
      </w:r>
      <w:proofErr w:type="spellStart"/>
      <w:r>
        <w:rPr>
          <w:sz w:val="23"/>
          <w:szCs w:val="23"/>
        </w:rPr>
        <w:t>Trikadaṃba</w:t>
      </w:r>
      <w:proofErr w:type="spellEnd"/>
      <w:r>
        <w:rPr>
          <w:sz w:val="23"/>
          <w:szCs w:val="23"/>
        </w:rPr>
        <w:t xml:space="preserve"> </w:t>
      </w:r>
      <w:proofErr w:type="spellStart"/>
      <w:r>
        <w:rPr>
          <w:sz w:val="23"/>
          <w:szCs w:val="23"/>
        </w:rPr>
        <w:t>Nagarī</w:t>
      </w:r>
      <w:proofErr w:type="spellEnd"/>
      <w:r>
        <w:rPr>
          <w:sz w:val="23"/>
          <w:szCs w:val="23"/>
        </w:rPr>
        <w:t xml:space="preserve"> in which he established an image of the principal deity </w:t>
      </w:r>
      <w:proofErr w:type="spellStart"/>
      <w:r>
        <w:rPr>
          <w:sz w:val="23"/>
          <w:szCs w:val="23"/>
        </w:rPr>
        <w:t>Paravāsudēva</w:t>
      </w:r>
      <w:proofErr w:type="spellEnd"/>
      <w:r>
        <w:rPr>
          <w:sz w:val="23"/>
          <w:szCs w:val="23"/>
        </w:rPr>
        <w:t xml:space="preserve">, his consort </w:t>
      </w:r>
      <w:proofErr w:type="spellStart"/>
      <w:r>
        <w:rPr>
          <w:sz w:val="23"/>
          <w:szCs w:val="23"/>
        </w:rPr>
        <w:t>Kamalavallī</w:t>
      </w:r>
      <w:proofErr w:type="spellEnd"/>
      <w:r>
        <w:rPr>
          <w:sz w:val="23"/>
          <w:szCs w:val="23"/>
        </w:rPr>
        <w:t>, and two courtesans (</w:t>
      </w:r>
      <w:proofErr w:type="spellStart"/>
      <w:r>
        <w:rPr>
          <w:i/>
          <w:iCs/>
          <w:sz w:val="23"/>
          <w:szCs w:val="23"/>
        </w:rPr>
        <w:t>nācayār</w:t>
      </w:r>
      <w:proofErr w:type="spellEnd"/>
      <w:r>
        <w:rPr>
          <w:sz w:val="23"/>
          <w:szCs w:val="23"/>
        </w:rPr>
        <w:t>) (</w:t>
      </w:r>
      <w:r>
        <w:rPr>
          <w:i/>
          <w:iCs/>
          <w:sz w:val="23"/>
          <w:szCs w:val="23"/>
        </w:rPr>
        <w:t xml:space="preserve">REC </w:t>
      </w:r>
      <w:commentRangeStart w:id="21"/>
      <w:proofErr w:type="spellStart"/>
      <w:r>
        <w:rPr>
          <w:sz w:val="23"/>
          <w:szCs w:val="23"/>
        </w:rPr>
        <w:t>My</w:t>
      </w:r>
      <w:proofErr w:type="spellEnd"/>
      <w:r w:rsidR="00F418F6">
        <w:rPr>
          <w:sz w:val="23"/>
          <w:szCs w:val="23"/>
        </w:rPr>
        <w:t>.</w:t>
      </w:r>
      <w:r>
        <w:rPr>
          <w:sz w:val="23"/>
          <w:szCs w:val="23"/>
        </w:rPr>
        <w:t xml:space="preserve"> </w:t>
      </w:r>
      <w:commentRangeEnd w:id="21"/>
      <w:r w:rsidR="00E65D61">
        <w:rPr>
          <w:rStyle w:val="CommentReference"/>
        </w:rPr>
        <w:commentReference w:id="21"/>
      </w:r>
      <w:r>
        <w:rPr>
          <w:sz w:val="23"/>
          <w:szCs w:val="23"/>
        </w:rPr>
        <w:t xml:space="preserve">99). The temple was also given implements for conducting </w:t>
      </w:r>
      <w:proofErr w:type="spellStart"/>
      <w:r>
        <w:rPr>
          <w:sz w:val="23"/>
          <w:szCs w:val="23"/>
        </w:rPr>
        <w:t>Rāmānuja</w:t>
      </w:r>
      <w:proofErr w:type="spellEnd"/>
      <w:r>
        <w:rPr>
          <w:sz w:val="23"/>
          <w:szCs w:val="23"/>
        </w:rPr>
        <w:t xml:space="preserve"> </w:t>
      </w:r>
      <w:proofErr w:type="spellStart"/>
      <w:r>
        <w:rPr>
          <w:i/>
          <w:iCs/>
          <w:sz w:val="23"/>
          <w:szCs w:val="23"/>
        </w:rPr>
        <w:t>pūjā</w:t>
      </w:r>
      <w:proofErr w:type="spellEnd"/>
      <w:r>
        <w:rPr>
          <w:sz w:val="23"/>
          <w:szCs w:val="23"/>
        </w:rPr>
        <w:t xml:space="preserve"> in honor of the </w:t>
      </w:r>
      <w:proofErr w:type="spellStart"/>
      <w:r>
        <w:rPr>
          <w:sz w:val="23"/>
          <w:szCs w:val="23"/>
        </w:rPr>
        <w:t>Śrī</w:t>
      </w:r>
      <w:proofErr w:type="spellEnd"/>
      <w:r>
        <w:rPr>
          <w:sz w:val="23"/>
          <w:szCs w:val="23"/>
        </w:rPr>
        <w:t xml:space="preserve"> </w:t>
      </w:r>
      <w:proofErr w:type="spellStart"/>
      <w:r>
        <w:rPr>
          <w:sz w:val="23"/>
          <w:szCs w:val="23"/>
        </w:rPr>
        <w:t>Vaiṣṇava</w:t>
      </w:r>
      <w:proofErr w:type="spellEnd"/>
      <w:r>
        <w:rPr>
          <w:sz w:val="23"/>
          <w:szCs w:val="23"/>
        </w:rPr>
        <w:t xml:space="preserve"> saint </w:t>
      </w:r>
      <w:proofErr w:type="gramStart"/>
      <w:r>
        <w:rPr>
          <w:sz w:val="23"/>
          <w:szCs w:val="23"/>
        </w:rPr>
        <w:t>in order to</w:t>
      </w:r>
      <w:proofErr w:type="gramEnd"/>
      <w:r>
        <w:rPr>
          <w:sz w:val="23"/>
          <w:szCs w:val="23"/>
        </w:rPr>
        <w:t xml:space="preserve"> secure </w:t>
      </w:r>
      <w:proofErr w:type="spellStart"/>
      <w:r w:rsidR="00F418F6">
        <w:rPr>
          <w:sz w:val="23"/>
          <w:szCs w:val="23"/>
        </w:rPr>
        <w:t>Cikkadēvarāja</w:t>
      </w:r>
      <w:r w:rsidR="00F418F6">
        <w:rPr>
          <w:sz w:val="23"/>
          <w:szCs w:val="23"/>
        </w:rPr>
        <w:t>’s</w:t>
      </w:r>
      <w:commentRangeStart w:id="22"/>
      <w:proofErr w:type="spellEnd"/>
      <w:r>
        <w:rPr>
          <w:sz w:val="23"/>
          <w:szCs w:val="23"/>
        </w:rPr>
        <w:t xml:space="preserve"> father</w:t>
      </w:r>
      <w:commentRangeEnd w:id="22"/>
      <w:r>
        <w:commentReference w:id="22"/>
      </w:r>
      <w:r>
        <w:rPr>
          <w:sz w:val="23"/>
          <w:szCs w:val="23"/>
        </w:rPr>
        <w:t xml:space="preserve"> </w:t>
      </w:r>
      <w:proofErr w:type="spellStart"/>
      <w:r>
        <w:rPr>
          <w:sz w:val="23"/>
          <w:szCs w:val="23"/>
        </w:rPr>
        <w:t>Doḍḍadēvarāja’s</w:t>
      </w:r>
      <w:proofErr w:type="spellEnd"/>
      <w:r>
        <w:rPr>
          <w:sz w:val="23"/>
          <w:szCs w:val="23"/>
        </w:rPr>
        <w:t xml:space="preserve"> perpetual state of bliss in heaven. The foundation</w:t>
      </w:r>
      <w:commentRangeStart w:id="23"/>
      <w:commentRangeEnd w:id="23"/>
      <w:r>
        <w:commentReference w:id="23"/>
      </w:r>
      <w:r>
        <w:rPr>
          <w:sz w:val="23"/>
          <w:szCs w:val="23"/>
        </w:rPr>
        <w:t xml:space="preserve"> inscription that </w:t>
      </w:r>
      <w:r w:rsidR="00F418F6">
        <w:rPr>
          <w:sz w:val="23"/>
          <w:szCs w:val="23"/>
        </w:rPr>
        <w:t>commemorates</w:t>
      </w:r>
      <w:r w:rsidR="00F418F6">
        <w:rPr>
          <w:sz w:val="23"/>
          <w:szCs w:val="23"/>
        </w:rPr>
        <w:t xml:space="preserve"> </w:t>
      </w:r>
      <w:r>
        <w:rPr>
          <w:sz w:val="23"/>
          <w:szCs w:val="23"/>
        </w:rPr>
        <w:t xml:space="preserve">the </w:t>
      </w:r>
      <w:commentRangeStart w:id="24"/>
      <w:r>
        <w:rPr>
          <w:sz w:val="23"/>
          <w:szCs w:val="23"/>
        </w:rPr>
        <w:t>establishment of th</w:t>
      </w:r>
      <w:r w:rsidR="00F418F6">
        <w:rPr>
          <w:sz w:val="23"/>
          <w:szCs w:val="23"/>
        </w:rPr>
        <w:t>is</w:t>
      </w:r>
      <w:r>
        <w:rPr>
          <w:sz w:val="23"/>
          <w:szCs w:val="23"/>
        </w:rPr>
        <w:t xml:space="preserve"> temple was written</w:t>
      </w:r>
      <w:commentRangeEnd w:id="24"/>
      <w:r>
        <w:commentReference w:id="24"/>
      </w:r>
      <w:r>
        <w:rPr>
          <w:sz w:val="23"/>
          <w:szCs w:val="23"/>
        </w:rPr>
        <w:t xml:space="preserve"> by the court poet </w:t>
      </w:r>
      <w:bookmarkStart w:id="25" w:name="_Hlk149913970"/>
      <w:proofErr w:type="spellStart"/>
      <w:r>
        <w:rPr>
          <w:sz w:val="23"/>
          <w:szCs w:val="23"/>
        </w:rPr>
        <w:t>Tirumalārya</w:t>
      </w:r>
      <w:bookmarkEnd w:id="25"/>
      <w:proofErr w:type="spellEnd"/>
      <w:r>
        <w:rPr>
          <w:sz w:val="23"/>
          <w:szCs w:val="23"/>
        </w:rPr>
        <w:t xml:space="preserve">, who would eventually become the king’s prime </w:t>
      </w:r>
      <w:r w:rsidR="00F418F6">
        <w:rPr>
          <w:sz w:val="23"/>
          <w:szCs w:val="23"/>
        </w:rPr>
        <w:t xml:space="preserve">minister, </w:t>
      </w:r>
      <w:r>
        <w:rPr>
          <w:sz w:val="23"/>
          <w:szCs w:val="23"/>
        </w:rPr>
        <w:t xml:space="preserve">refers to </w:t>
      </w:r>
      <w:proofErr w:type="spellStart"/>
      <w:r>
        <w:rPr>
          <w:sz w:val="23"/>
          <w:szCs w:val="23"/>
        </w:rPr>
        <w:t>Cikkadēvarāja</w:t>
      </w:r>
      <w:proofErr w:type="spellEnd"/>
      <w:r>
        <w:rPr>
          <w:sz w:val="23"/>
          <w:szCs w:val="23"/>
        </w:rPr>
        <w:t xml:space="preserve"> as the “Stabilizer of </w:t>
      </w:r>
      <w:proofErr w:type="spellStart"/>
      <w:r>
        <w:rPr>
          <w:sz w:val="23"/>
          <w:szCs w:val="23"/>
        </w:rPr>
        <w:t>Śrī</w:t>
      </w:r>
      <w:proofErr w:type="spellEnd"/>
      <w:r>
        <w:rPr>
          <w:sz w:val="23"/>
          <w:szCs w:val="23"/>
        </w:rPr>
        <w:t xml:space="preserve"> </w:t>
      </w:r>
      <w:proofErr w:type="spellStart"/>
      <w:r>
        <w:rPr>
          <w:sz w:val="23"/>
          <w:szCs w:val="23"/>
        </w:rPr>
        <w:t>Vaiṣṇava</w:t>
      </w:r>
      <w:proofErr w:type="spellEnd"/>
      <w:r>
        <w:rPr>
          <w:sz w:val="23"/>
          <w:szCs w:val="23"/>
        </w:rPr>
        <w:t xml:space="preserve"> doctrine” (</w:t>
      </w:r>
      <w:proofErr w:type="spellStart"/>
      <w:r>
        <w:rPr>
          <w:i/>
          <w:iCs/>
          <w:sz w:val="23"/>
          <w:szCs w:val="23"/>
        </w:rPr>
        <w:t>śrīvaiṣṇava</w:t>
      </w:r>
      <w:proofErr w:type="spellEnd"/>
      <w:r>
        <w:rPr>
          <w:i/>
          <w:iCs/>
          <w:sz w:val="23"/>
          <w:szCs w:val="23"/>
        </w:rPr>
        <w:t xml:space="preserve"> </w:t>
      </w:r>
      <w:proofErr w:type="spellStart"/>
      <w:r>
        <w:rPr>
          <w:i/>
          <w:iCs/>
          <w:sz w:val="23"/>
          <w:szCs w:val="23"/>
        </w:rPr>
        <w:t>mata</w:t>
      </w:r>
      <w:proofErr w:type="spellEnd"/>
      <w:r>
        <w:rPr>
          <w:i/>
          <w:iCs/>
          <w:sz w:val="23"/>
          <w:szCs w:val="23"/>
        </w:rPr>
        <w:t xml:space="preserve"> </w:t>
      </w:r>
      <w:proofErr w:type="spellStart"/>
      <w:proofErr w:type="gramStart"/>
      <w:r>
        <w:rPr>
          <w:i/>
          <w:iCs/>
          <w:sz w:val="23"/>
          <w:szCs w:val="23"/>
        </w:rPr>
        <w:t>pratiṣṭhāpaka</w:t>
      </w:r>
      <w:proofErr w:type="spellEnd"/>
      <w:r>
        <w:rPr>
          <w:sz w:val="23"/>
          <w:szCs w:val="23"/>
        </w:rPr>
        <w:t>;</w:t>
      </w:r>
      <w:proofErr w:type="gramEnd"/>
      <w:r>
        <w:rPr>
          <w:sz w:val="23"/>
          <w:szCs w:val="23"/>
        </w:rPr>
        <w:t xml:space="preserve"> </w:t>
      </w:r>
      <w:r>
        <w:rPr>
          <w:i/>
          <w:iCs/>
          <w:sz w:val="23"/>
          <w:szCs w:val="23"/>
        </w:rPr>
        <w:t xml:space="preserve">REC </w:t>
      </w:r>
      <w:proofErr w:type="spellStart"/>
      <w:r>
        <w:rPr>
          <w:sz w:val="23"/>
          <w:szCs w:val="23"/>
        </w:rPr>
        <w:t>My</w:t>
      </w:r>
      <w:proofErr w:type="spellEnd"/>
      <w:r>
        <w:rPr>
          <w:sz w:val="23"/>
          <w:szCs w:val="23"/>
        </w:rPr>
        <w:t>. 99, line 432</w:t>
      </w:r>
      <w:r w:rsidR="00E65D61">
        <w:rPr>
          <w:sz w:val="23"/>
          <w:szCs w:val="23"/>
        </w:rPr>
        <w:t>–4</w:t>
      </w:r>
      <w:r>
        <w:rPr>
          <w:sz w:val="23"/>
          <w:szCs w:val="23"/>
        </w:rPr>
        <w:t>33).</w:t>
      </w:r>
      <w:r>
        <w:rPr>
          <w:i/>
          <w:iCs/>
          <w:sz w:val="23"/>
          <w:szCs w:val="23"/>
        </w:rPr>
        <w:t xml:space="preserve"> </w:t>
      </w:r>
      <w:r>
        <w:rPr>
          <w:iCs/>
          <w:sz w:val="23"/>
          <w:szCs w:val="23"/>
        </w:rPr>
        <w:t xml:space="preserve">In addition to this first donative record, the king from early in his reign showed interest in and patronized works </w:t>
      </w:r>
      <w:bookmarkStart w:id="26" w:name="_Hlk149914029"/>
      <w:r>
        <w:rPr>
          <w:iCs/>
          <w:sz w:val="23"/>
          <w:szCs w:val="23"/>
        </w:rPr>
        <w:t xml:space="preserve">by </w:t>
      </w:r>
      <w:proofErr w:type="spellStart"/>
      <w:r>
        <w:rPr>
          <w:iCs/>
          <w:sz w:val="23"/>
          <w:szCs w:val="23"/>
        </w:rPr>
        <w:t>Śrī</w:t>
      </w:r>
      <w:proofErr w:type="spellEnd"/>
      <w:r>
        <w:rPr>
          <w:iCs/>
          <w:sz w:val="23"/>
          <w:szCs w:val="23"/>
        </w:rPr>
        <w:t xml:space="preserve"> </w:t>
      </w:r>
      <w:proofErr w:type="spellStart"/>
      <w:r>
        <w:rPr>
          <w:iCs/>
          <w:sz w:val="23"/>
          <w:szCs w:val="23"/>
        </w:rPr>
        <w:t>Vaiṣṇava</w:t>
      </w:r>
      <w:proofErr w:type="spellEnd"/>
      <w:r>
        <w:rPr>
          <w:iCs/>
          <w:sz w:val="23"/>
          <w:szCs w:val="23"/>
        </w:rPr>
        <w:t xml:space="preserve"> </w:t>
      </w:r>
      <w:bookmarkEnd w:id="26"/>
      <w:r>
        <w:rPr>
          <w:iCs/>
          <w:sz w:val="23"/>
          <w:szCs w:val="23"/>
        </w:rPr>
        <w:t xml:space="preserve">poets and philosophers. Prominent among them was </w:t>
      </w:r>
      <w:bookmarkStart w:id="27" w:name="_Hlk149914053"/>
      <w:proofErr w:type="spellStart"/>
      <w:r>
        <w:rPr>
          <w:iCs/>
          <w:sz w:val="23"/>
          <w:szCs w:val="23"/>
        </w:rPr>
        <w:t>Cikkōpādhyāya</w:t>
      </w:r>
      <w:bookmarkEnd w:id="27"/>
      <w:proofErr w:type="spellEnd"/>
      <w:r>
        <w:rPr>
          <w:iCs/>
          <w:sz w:val="23"/>
          <w:szCs w:val="23"/>
        </w:rPr>
        <w:t xml:space="preserve">, author of the </w:t>
      </w:r>
      <w:bookmarkStart w:id="28" w:name="_Hlk149914067"/>
      <w:proofErr w:type="spellStart"/>
      <w:r>
        <w:rPr>
          <w:i/>
          <w:iCs/>
          <w:sz w:val="23"/>
          <w:szCs w:val="23"/>
        </w:rPr>
        <w:t>Divya</w:t>
      </w:r>
      <w:proofErr w:type="spellEnd"/>
      <w:r>
        <w:rPr>
          <w:i/>
          <w:iCs/>
          <w:sz w:val="23"/>
          <w:szCs w:val="23"/>
        </w:rPr>
        <w:t xml:space="preserve"> </w:t>
      </w:r>
      <w:proofErr w:type="spellStart"/>
      <w:r>
        <w:rPr>
          <w:i/>
          <w:iCs/>
          <w:sz w:val="23"/>
          <w:szCs w:val="23"/>
        </w:rPr>
        <w:t>Sūri</w:t>
      </w:r>
      <w:proofErr w:type="spellEnd"/>
      <w:r>
        <w:rPr>
          <w:i/>
          <w:iCs/>
          <w:sz w:val="23"/>
          <w:szCs w:val="23"/>
        </w:rPr>
        <w:t xml:space="preserve"> </w:t>
      </w:r>
      <w:proofErr w:type="spellStart"/>
      <w:r>
        <w:rPr>
          <w:i/>
          <w:iCs/>
          <w:sz w:val="23"/>
          <w:szCs w:val="23"/>
        </w:rPr>
        <w:t>Caritrē</w:t>
      </w:r>
      <w:proofErr w:type="spellEnd"/>
      <w:r>
        <w:rPr>
          <w:iCs/>
          <w:sz w:val="23"/>
          <w:szCs w:val="23"/>
        </w:rPr>
        <w:t xml:space="preserve"> </w:t>
      </w:r>
      <w:bookmarkEnd w:id="28"/>
      <w:r>
        <w:rPr>
          <w:iCs/>
          <w:sz w:val="23"/>
          <w:szCs w:val="23"/>
        </w:rPr>
        <w:t xml:space="preserve">(a Kannada translation of the Tamil poetry of the twelve </w:t>
      </w:r>
      <w:bookmarkStart w:id="29" w:name="_Hlk149914084"/>
      <w:proofErr w:type="spellStart"/>
      <w:r>
        <w:rPr>
          <w:iCs/>
          <w:sz w:val="23"/>
          <w:szCs w:val="23"/>
        </w:rPr>
        <w:t>Āḻvārs</w:t>
      </w:r>
      <w:proofErr w:type="spellEnd"/>
      <w:r>
        <w:rPr>
          <w:iCs/>
          <w:sz w:val="23"/>
          <w:szCs w:val="23"/>
        </w:rPr>
        <w:t xml:space="preserve"> </w:t>
      </w:r>
      <w:bookmarkEnd w:id="29"/>
      <w:r>
        <w:rPr>
          <w:iCs/>
          <w:sz w:val="23"/>
          <w:szCs w:val="23"/>
        </w:rPr>
        <w:t xml:space="preserve">and a collection of </w:t>
      </w:r>
      <w:bookmarkStart w:id="30" w:name="_Hlk149914104"/>
      <w:proofErr w:type="spellStart"/>
      <w:r>
        <w:rPr>
          <w:i/>
          <w:iCs/>
          <w:sz w:val="23"/>
          <w:szCs w:val="23"/>
        </w:rPr>
        <w:t>māhātmya</w:t>
      </w:r>
      <w:r>
        <w:rPr>
          <w:sz w:val="23"/>
          <w:szCs w:val="23"/>
        </w:rPr>
        <w:t>s</w:t>
      </w:r>
      <w:proofErr w:type="spellEnd"/>
      <w:r>
        <w:rPr>
          <w:i/>
          <w:iCs/>
          <w:sz w:val="23"/>
          <w:szCs w:val="23"/>
        </w:rPr>
        <w:t xml:space="preserve"> </w:t>
      </w:r>
      <w:bookmarkEnd w:id="30"/>
      <w:r>
        <w:rPr>
          <w:iCs/>
          <w:sz w:val="23"/>
          <w:szCs w:val="23"/>
        </w:rPr>
        <w:t xml:space="preserve">or “glorifications” of popular </w:t>
      </w:r>
      <w:proofErr w:type="spellStart"/>
      <w:r>
        <w:rPr>
          <w:iCs/>
          <w:sz w:val="23"/>
          <w:szCs w:val="23"/>
        </w:rPr>
        <w:t>Śrī</w:t>
      </w:r>
      <w:proofErr w:type="spellEnd"/>
      <w:r>
        <w:rPr>
          <w:iCs/>
          <w:sz w:val="23"/>
          <w:szCs w:val="23"/>
        </w:rPr>
        <w:t xml:space="preserve"> </w:t>
      </w:r>
      <w:proofErr w:type="spellStart"/>
      <w:r>
        <w:rPr>
          <w:iCs/>
          <w:sz w:val="23"/>
          <w:szCs w:val="23"/>
        </w:rPr>
        <w:t>Vaiṣṇava</w:t>
      </w:r>
      <w:proofErr w:type="spellEnd"/>
      <w:r>
        <w:rPr>
          <w:iCs/>
          <w:sz w:val="23"/>
          <w:szCs w:val="23"/>
        </w:rPr>
        <w:t xml:space="preserve"> pilgrimage sites)</w:t>
      </w:r>
      <w:r>
        <w:rPr>
          <w:i/>
          <w:iCs/>
          <w:sz w:val="23"/>
          <w:szCs w:val="23"/>
        </w:rPr>
        <w:t>.</w:t>
      </w:r>
      <w:r>
        <w:rPr>
          <w:iCs/>
          <w:sz w:val="23"/>
          <w:szCs w:val="23"/>
        </w:rPr>
        <w:t xml:space="preserve"> These works</w:t>
      </w:r>
      <w:commentRangeStart w:id="31"/>
      <w:commentRangeEnd w:id="31"/>
      <w:r>
        <w:commentReference w:id="31"/>
      </w:r>
      <w:r>
        <w:rPr>
          <w:iCs/>
          <w:sz w:val="23"/>
          <w:szCs w:val="23"/>
        </w:rPr>
        <w:t xml:space="preserve"> stress the importance of </w:t>
      </w:r>
      <w:proofErr w:type="spellStart"/>
      <w:r>
        <w:rPr>
          <w:iCs/>
          <w:sz w:val="23"/>
          <w:szCs w:val="23"/>
        </w:rPr>
        <w:t>Śrī</w:t>
      </w:r>
      <w:proofErr w:type="spellEnd"/>
      <w:r>
        <w:rPr>
          <w:iCs/>
          <w:sz w:val="23"/>
          <w:szCs w:val="23"/>
        </w:rPr>
        <w:t xml:space="preserve"> </w:t>
      </w:r>
      <w:proofErr w:type="spellStart"/>
      <w:r>
        <w:rPr>
          <w:iCs/>
          <w:sz w:val="23"/>
          <w:szCs w:val="23"/>
        </w:rPr>
        <w:t>Vaiṣṇava</w:t>
      </w:r>
      <w:proofErr w:type="spellEnd"/>
      <w:r>
        <w:rPr>
          <w:iCs/>
          <w:sz w:val="23"/>
          <w:szCs w:val="23"/>
        </w:rPr>
        <w:t xml:space="preserve"> tenets in the Woḍeyar political administration and affirm the influence of the tradition in the governance of the region under </w:t>
      </w:r>
      <w:r>
        <w:rPr>
          <w:sz w:val="23"/>
          <w:szCs w:val="23"/>
        </w:rPr>
        <w:t>Cikkadēvarāja</w:t>
      </w:r>
      <w:r>
        <w:rPr>
          <w:iCs/>
          <w:sz w:val="23"/>
          <w:szCs w:val="23"/>
        </w:rPr>
        <w:t xml:space="preserve">. </w:t>
      </w:r>
      <w:r>
        <w:rPr>
          <w:sz w:val="23"/>
          <w:szCs w:val="23"/>
        </w:rPr>
        <w:t xml:space="preserve">It was not until 1678, however, that Cikkadēvarāja was formally initiated into the religion. After this point he became a staunch and vocal proponent of the </w:t>
      </w:r>
      <w:proofErr w:type="spellStart"/>
      <w:r>
        <w:rPr>
          <w:sz w:val="23"/>
          <w:szCs w:val="23"/>
        </w:rPr>
        <w:t>Śrī</w:t>
      </w:r>
      <w:proofErr w:type="spellEnd"/>
      <w:r>
        <w:rPr>
          <w:sz w:val="23"/>
          <w:szCs w:val="23"/>
        </w:rPr>
        <w:t xml:space="preserve"> </w:t>
      </w:r>
      <w:proofErr w:type="spellStart"/>
      <w:r>
        <w:rPr>
          <w:sz w:val="23"/>
          <w:szCs w:val="23"/>
        </w:rPr>
        <w:t>Vaiṣṇava</w:t>
      </w:r>
      <w:proofErr w:type="spellEnd"/>
      <w:r>
        <w:rPr>
          <w:sz w:val="23"/>
          <w:szCs w:val="23"/>
        </w:rPr>
        <w:t xml:space="preserve"> tradition in Mysore and regularly received the epithet of the “Stabilizer of </w:t>
      </w:r>
      <w:proofErr w:type="spellStart"/>
      <w:r>
        <w:rPr>
          <w:sz w:val="23"/>
          <w:szCs w:val="23"/>
        </w:rPr>
        <w:t>Śrī</w:t>
      </w:r>
      <w:proofErr w:type="spellEnd"/>
      <w:r>
        <w:rPr>
          <w:sz w:val="23"/>
          <w:szCs w:val="23"/>
        </w:rPr>
        <w:t xml:space="preserve"> </w:t>
      </w:r>
      <w:proofErr w:type="spellStart"/>
      <w:r>
        <w:rPr>
          <w:sz w:val="23"/>
          <w:szCs w:val="23"/>
        </w:rPr>
        <w:t>Vaiṣṇava</w:t>
      </w:r>
      <w:proofErr w:type="spellEnd"/>
      <w:r>
        <w:rPr>
          <w:sz w:val="23"/>
          <w:szCs w:val="23"/>
        </w:rPr>
        <w:t xml:space="preserve"> doctrine” in the region.</w:t>
      </w:r>
    </w:p>
    <w:p w14:paraId="3D6B70BB" w14:textId="77777777" w:rsidR="00F418F6" w:rsidRDefault="00F418F6">
      <w:pPr>
        <w:spacing w:line="480" w:lineRule="auto"/>
        <w:ind w:firstLine="720"/>
        <w:rPr>
          <w:sz w:val="23"/>
          <w:szCs w:val="23"/>
        </w:rPr>
      </w:pPr>
    </w:p>
    <w:p w14:paraId="2B140C71" w14:textId="2B4F4091" w:rsidR="00F418F6" w:rsidRDefault="00F418F6" w:rsidP="00320622">
      <w:pPr>
        <w:spacing w:line="480" w:lineRule="auto"/>
        <w:rPr>
          <w:sz w:val="23"/>
          <w:szCs w:val="23"/>
        </w:rPr>
      </w:pPr>
      <w:proofErr w:type="spellStart"/>
      <w:r w:rsidRPr="00F418F6">
        <w:rPr>
          <w:rFonts w:eastAsia="Times New Roman" w:cs="Times New Roman"/>
          <w:b/>
          <w:bCs/>
          <w:i/>
          <w:iCs/>
          <w:color w:val="000000"/>
        </w:rPr>
        <w:t>Cikkadēvarāj</w:t>
      </w:r>
      <w:proofErr w:type="spellEnd"/>
      <w:r>
        <w:rPr>
          <w:rFonts w:eastAsia="Times New Roman" w:cs="Times New Roman"/>
          <w:b/>
          <w:bCs/>
          <w:i/>
          <w:iCs/>
          <w:color w:val="000000"/>
        </w:rPr>
        <w:t xml:space="preserve"> and Religion in the Mysore Court </w:t>
      </w:r>
      <w:r w:rsidRPr="00566DE7">
        <w:rPr>
          <w:rFonts w:eastAsia="Times New Roman" w:cs="Times New Roman"/>
          <w:b/>
          <w:bCs/>
          <w:i/>
          <w:iCs/>
          <w:color w:val="000000"/>
        </w:rPr>
        <w:t xml:space="preserve">in </w:t>
      </w:r>
      <w:r>
        <w:rPr>
          <w:rFonts w:eastAsia="Times New Roman" w:cs="Times New Roman"/>
          <w:b/>
          <w:bCs/>
          <w:i/>
          <w:iCs/>
          <w:color w:val="000000"/>
        </w:rPr>
        <w:t>Nine</w:t>
      </w:r>
      <w:r w:rsidRPr="00566DE7">
        <w:rPr>
          <w:rFonts w:eastAsia="Times New Roman" w:cs="Times New Roman"/>
          <w:b/>
          <w:bCs/>
          <w:i/>
          <w:iCs/>
          <w:color w:val="000000"/>
        </w:rPr>
        <w:t>teenth-Century Sources</w:t>
      </w:r>
    </w:p>
    <w:p w14:paraId="4DC12ABE" w14:textId="6CADFCA6" w:rsidR="00A63A65" w:rsidRDefault="00B47C53" w:rsidP="00F418F6">
      <w:pPr>
        <w:spacing w:line="480" w:lineRule="auto"/>
        <w:ind w:firstLine="720"/>
        <w:rPr>
          <w:sz w:val="23"/>
          <w:szCs w:val="23"/>
        </w:rPr>
      </w:pPr>
      <w:r>
        <w:rPr>
          <w:sz w:val="23"/>
          <w:szCs w:val="23"/>
        </w:rPr>
        <w:t xml:space="preserve">One hundred and fifty years later, however, a different vision of Cikkadēvarāja’s court emerged in </w:t>
      </w:r>
      <w:commentRangeStart w:id="32"/>
      <w:r>
        <w:rPr>
          <w:sz w:val="23"/>
          <w:szCs w:val="23"/>
        </w:rPr>
        <w:t>colonial</w:t>
      </w:r>
      <w:r w:rsidR="00F418F6">
        <w:rPr>
          <w:sz w:val="23"/>
          <w:szCs w:val="23"/>
        </w:rPr>
        <w:t>-era</w:t>
      </w:r>
      <w:r>
        <w:rPr>
          <w:sz w:val="23"/>
          <w:szCs w:val="23"/>
        </w:rPr>
        <w:t xml:space="preserve"> </w:t>
      </w:r>
      <w:commentRangeEnd w:id="32"/>
      <w:r w:rsidR="00D11302">
        <w:rPr>
          <w:rStyle w:val="CommentReference"/>
        </w:rPr>
        <w:commentReference w:id="32"/>
      </w:r>
      <w:r>
        <w:rPr>
          <w:sz w:val="23"/>
          <w:szCs w:val="23"/>
        </w:rPr>
        <w:t xml:space="preserve">scholarship. These sources maintain that early in his reign, </w:t>
      </w:r>
      <w:r>
        <w:rPr>
          <w:sz w:val="23"/>
          <w:szCs w:val="23"/>
        </w:rPr>
        <w:lastRenderedPageBreak/>
        <w:t xml:space="preserve">Cikkadēvarāja’s court had space for a plurality of religious and sectarian traditions. </w:t>
      </w:r>
      <w:commentRangeStart w:id="33"/>
      <w:r w:rsidR="00D11302">
        <w:rPr>
          <w:sz w:val="23"/>
          <w:szCs w:val="23"/>
        </w:rPr>
        <w:t>I</w:t>
      </w:r>
      <w:r>
        <w:rPr>
          <w:sz w:val="23"/>
          <w:szCs w:val="23"/>
        </w:rPr>
        <w:t>n</w:t>
      </w:r>
      <w:commentRangeEnd w:id="33"/>
      <w:r w:rsidR="00D11302">
        <w:rPr>
          <w:rStyle w:val="CommentReference"/>
        </w:rPr>
        <w:commentReference w:id="33"/>
      </w:r>
      <w:r>
        <w:rPr>
          <w:sz w:val="23"/>
          <w:szCs w:val="23"/>
        </w:rPr>
        <w:t xml:space="preserve"> the early 1800s, in his </w:t>
      </w:r>
      <w:proofErr w:type="spellStart"/>
      <w:r>
        <w:rPr>
          <w:i/>
          <w:iCs/>
          <w:sz w:val="23"/>
          <w:szCs w:val="23"/>
        </w:rPr>
        <w:t>Rājāvaḷi</w:t>
      </w:r>
      <w:proofErr w:type="spellEnd"/>
      <w:r>
        <w:rPr>
          <w:i/>
          <w:iCs/>
          <w:sz w:val="23"/>
          <w:szCs w:val="23"/>
        </w:rPr>
        <w:t xml:space="preserve"> </w:t>
      </w:r>
      <w:proofErr w:type="spellStart"/>
      <w:r>
        <w:rPr>
          <w:i/>
          <w:iCs/>
          <w:sz w:val="23"/>
          <w:szCs w:val="23"/>
        </w:rPr>
        <w:t>Kathāsāra</w:t>
      </w:r>
      <w:proofErr w:type="spellEnd"/>
      <w:r>
        <w:rPr>
          <w:sz w:val="23"/>
          <w:szCs w:val="23"/>
        </w:rPr>
        <w:t xml:space="preserve"> the Jain poet and historian Dēvacandra writes in </w:t>
      </w:r>
      <w:proofErr w:type="gramStart"/>
      <w:r>
        <w:rPr>
          <w:sz w:val="23"/>
          <w:szCs w:val="23"/>
        </w:rPr>
        <w:t>great detail</w:t>
      </w:r>
      <w:proofErr w:type="gramEnd"/>
      <w:r>
        <w:rPr>
          <w:sz w:val="23"/>
          <w:szCs w:val="23"/>
        </w:rPr>
        <w:t xml:space="preserve"> about Cikkadēvarāja’s training with three gurus</w:t>
      </w:r>
      <w:r>
        <w:rPr>
          <w:i/>
          <w:iCs/>
          <w:sz w:val="23"/>
          <w:szCs w:val="23"/>
        </w:rPr>
        <w:t xml:space="preserve"> </w:t>
      </w:r>
      <w:r>
        <w:rPr>
          <w:sz w:val="23"/>
          <w:szCs w:val="23"/>
        </w:rPr>
        <w:t xml:space="preserve">from three different religious traditions: </w:t>
      </w:r>
      <w:proofErr w:type="spellStart"/>
      <w:r>
        <w:rPr>
          <w:sz w:val="23"/>
          <w:szCs w:val="23"/>
        </w:rPr>
        <w:t>Tirumalārya</w:t>
      </w:r>
      <w:proofErr w:type="spellEnd"/>
      <w:r>
        <w:rPr>
          <w:sz w:val="23"/>
          <w:szCs w:val="23"/>
        </w:rPr>
        <w:t xml:space="preserve"> (</w:t>
      </w:r>
      <w:proofErr w:type="spellStart"/>
      <w:r>
        <w:rPr>
          <w:sz w:val="23"/>
          <w:szCs w:val="23"/>
        </w:rPr>
        <w:t>Śrī</w:t>
      </w:r>
      <w:proofErr w:type="spellEnd"/>
      <w:r>
        <w:rPr>
          <w:sz w:val="23"/>
          <w:szCs w:val="23"/>
        </w:rPr>
        <w:t xml:space="preserve"> </w:t>
      </w:r>
      <w:proofErr w:type="spellStart"/>
      <w:r>
        <w:rPr>
          <w:sz w:val="23"/>
          <w:szCs w:val="23"/>
        </w:rPr>
        <w:t>Vaiṣṇava</w:t>
      </w:r>
      <w:proofErr w:type="spellEnd"/>
      <w:r>
        <w:rPr>
          <w:sz w:val="23"/>
          <w:szCs w:val="23"/>
        </w:rPr>
        <w:t xml:space="preserve">), </w:t>
      </w:r>
      <w:proofErr w:type="spellStart"/>
      <w:r>
        <w:rPr>
          <w:sz w:val="23"/>
          <w:szCs w:val="23"/>
        </w:rPr>
        <w:t>Ṣaḍakṣariya</w:t>
      </w:r>
      <w:proofErr w:type="spellEnd"/>
      <w:r>
        <w:rPr>
          <w:sz w:val="23"/>
          <w:szCs w:val="23"/>
        </w:rPr>
        <w:t xml:space="preserve"> (</w:t>
      </w:r>
      <w:commentRangeStart w:id="34"/>
      <w:proofErr w:type="spellStart"/>
      <w:r>
        <w:rPr>
          <w:sz w:val="23"/>
          <w:szCs w:val="23"/>
        </w:rPr>
        <w:t>Vīraśaiva</w:t>
      </w:r>
      <w:commentRangeEnd w:id="34"/>
      <w:proofErr w:type="spellEnd"/>
      <w:r w:rsidR="00EA2C47">
        <w:rPr>
          <w:rStyle w:val="CommentReference"/>
        </w:rPr>
        <w:commentReference w:id="34"/>
      </w:r>
      <w:r>
        <w:rPr>
          <w:sz w:val="23"/>
          <w:szCs w:val="23"/>
        </w:rPr>
        <w:t xml:space="preserve">), and Jain </w:t>
      </w:r>
      <w:proofErr w:type="spellStart"/>
      <w:r w:rsidR="00097E55">
        <w:rPr>
          <w:sz w:val="23"/>
          <w:szCs w:val="23"/>
        </w:rPr>
        <w:t>Viś</w:t>
      </w:r>
      <w:r w:rsidR="00097E55">
        <w:rPr>
          <w:sz w:val="23"/>
          <w:szCs w:val="23"/>
        </w:rPr>
        <w:t>ā</w:t>
      </w:r>
      <w:r w:rsidR="00097E55">
        <w:rPr>
          <w:sz w:val="23"/>
          <w:szCs w:val="23"/>
        </w:rPr>
        <w:t>lākṣa</w:t>
      </w:r>
      <w:proofErr w:type="spellEnd"/>
      <w:r w:rsidR="00097E55">
        <w:rPr>
          <w:sz w:val="23"/>
          <w:szCs w:val="23"/>
        </w:rPr>
        <w:t xml:space="preserve"> </w:t>
      </w:r>
      <w:r>
        <w:rPr>
          <w:sz w:val="23"/>
          <w:szCs w:val="23"/>
        </w:rPr>
        <w:t>(</w:t>
      </w:r>
      <w:proofErr w:type="spellStart"/>
      <w:r>
        <w:rPr>
          <w:sz w:val="23"/>
          <w:szCs w:val="23"/>
        </w:rPr>
        <w:t>Dēvacandra</w:t>
      </w:r>
      <w:proofErr w:type="spellEnd"/>
      <w:r>
        <w:rPr>
          <w:sz w:val="23"/>
          <w:szCs w:val="23"/>
        </w:rPr>
        <w:t xml:space="preserve"> 1988 [1838], 341; 347). </w:t>
      </w:r>
      <w:proofErr w:type="spellStart"/>
      <w:r>
        <w:rPr>
          <w:sz w:val="23"/>
          <w:szCs w:val="23"/>
        </w:rPr>
        <w:t>Dēvacandra</w:t>
      </w:r>
      <w:proofErr w:type="spellEnd"/>
      <w:r>
        <w:rPr>
          <w:sz w:val="23"/>
          <w:szCs w:val="23"/>
        </w:rPr>
        <w:t xml:space="preserve"> </w:t>
      </w:r>
      <w:r w:rsidR="00F418F6">
        <w:rPr>
          <w:sz w:val="23"/>
          <w:szCs w:val="23"/>
        </w:rPr>
        <w:t>write</w:t>
      </w:r>
      <w:r w:rsidR="00F418F6">
        <w:rPr>
          <w:sz w:val="23"/>
          <w:szCs w:val="23"/>
        </w:rPr>
        <w:t>s</w:t>
      </w:r>
      <w:commentRangeStart w:id="35"/>
      <w:commentRangeEnd w:id="35"/>
      <w:r>
        <w:commentReference w:id="35"/>
      </w:r>
      <w:r>
        <w:rPr>
          <w:sz w:val="23"/>
          <w:szCs w:val="23"/>
        </w:rPr>
        <w:t xml:space="preserve"> that they each had a profound impact on his religious practice and in the administration of his kingdom. </w:t>
      </w:r>
      <w:commentRangeStart w:id="36"/>
      <w:proofErr w:type="spellStart"/>
      <w:r w:rsidR="00093A3D">
        <w:rPr>
          <w:rFonts w:eastAsia="Times New Roman" w:cs="Times New Roman"/>
          <w:color w:val="000000"/>
        </w:rPr>
        <w:t>Dēvacandra</w:t>
      </w:r>
      <w:commentRangeEnd w:id="36"/>
      <w:proofErr w:type="spellEnd"/>
      <w:r w:rsidR="00093A3D">
        <w:rPr>
          <w:rStyle w:val="CommentReference"/>
        </w:rPr>
        <w:commentReference w:id="36"/>
      </w:r>
      <w:r w:rsidR="00093A3D">
        <w:rPr>
          <w:rFonts w:eastAsia="Times New Roman" w:cs="Times New Roman"/>
          <w:color w:val="000000"/>
        </w:rPr>
        <w:t xml:space="preserve"> worked with the </w:t>
      </w:r>
      <w:commentRangeStart w:id="37"/>
      <w:r w:rsidR="00093A3D">
        <w:rPr>
          <w:rFonts w:eastAsia="Times New Roman" w:cs="Times New Roman"/>
          <w:color w:val="000000"/>
        </w:rPr>
        <w:t xml:space="preserve">Mysore Survey </w:t>
      </w:r>
      <w:commentRangeEnd w:id="37"/>
      <w:r w:rsidR="00093A3D">
        <w:rPr>
          <w:rStyle w:val="CommentReference"/>
        </w:rPr>
        <w:commentReference w:id="37"/>
      </w:r>
      <w:r w:rsidR="00093A3D">
        <w:rPr>
          <w:rFonts w:eastAsia="Times New Roman" w:cs="Times New Roman"/>
          <w:color w:val="000000"/>
        </w:rPr>
        <w:t>under the leadership of Colin Mackenzie, and it was for the Survey that he wrote his account, receiving a commission of 25 rupees from the surveyor in 1804 (</w:t>
      </w:r>
      <w:proofErr w:type="spellStart"/>
      <w:r w:rsidR="00093A3D">
        <w:rPr>
          <w:rFonts w:eastAsia="Times New Roman" w:cs="Times New Roman"/>
          <w:color w:val="000000"/>
        </w:rPr>
        <w:t>Sastri</w:t>
      </w:r>
      <w:proofErr w:type="spellEnd"/>
      <w:r w:rsidR="00093A3D">
        <w:rPr>
          <w:rFonts w:eastAsia="Times New Roman" w:cs="Times New Roman"/>
          <w:color w:val="000000"/>
        </w:rPr>
        <w:t xml:space="preserve"> 1941)</w:t>
      </w:r>
      <w:r w:rsidR="00093A3D">
        <w:rPr>
          <w:rFonts w:eastAsia="Times New Roman" w:cs="Times New Roman"/>
          <w:color w:val="000000"/>
        </w:rPr>
        <w:t xml:space="preserve">. </w:t>
      </w:r>
      <w:r>
        <w:rPr>
          <w:sz w:val="23"/>
          <w:szCs w:val="23"/>
        </w:rPr>
        <w:t xml:space="preserve">According to </w:t>
      </w:r>
      <w:proofErr w:type="spellStart"/>
      <w:r>
        <w:rPr>
          <w:sz w:val="23"/>
          <w:szCs w:val="23"/>
        </w:rPr>
        <w:t>Dēvacandra</w:t>
      </w:r>
      <w:proofErr w:type="spellEnd"/>
      <w:r>
        <w:rPr>
          <w:sz w:val="23"/>
          <w:szCs w:val="23"/>
        </w:rPr>
        <w:t xml:space="preserve">, at </w:t>
      </w:r>
      <w:proofErr w:type="spellStart"/>
      <w:r>
        <w:rPr>
          <w:sz w:val="23"/>
          <w:szCs w:val="23"/>
        </w:rPr>
        <w:t>Cikkadēvarāja’s</w:t>
      </w:r>
      <w:proofErr w:type="spellEnd"/>
      <w:r>
        <w:rPr>
          <w:sz w:val="23"/>
          <w:szCs w:val="23"/>
        </w:rPr>
        <w:t xml:space="preserve"> coronation, he selected the Jain </w:t>
      </w:r>
      <w:commentRangeStart w:id="38"/>
      <w:proofErr w:type="spellStart"/>
      <w:r>
        <w:rPr>
          <w:sz w:val="23"/>
          <w:szCs w:val="23"/>
        </w:rPr>
        <w:t>Viś</w:t>
      </w:r>
      <w:r w:rsidR="00097E55">
        <w:rPr>
          <w:sz w:val="23"/>
          <w:szCs w:val="23"/>
        </w:rPr>
        <w:t>ā</w:t>
      </w:r>
      <w:r>
        <w:rPr>
          <w:sz w:val="23"/>
          <w:szCs w:val="23"/>
        </w:rPr>
        <w:t>lākṣa</w:t>
      </w:r>
      <w:proofErr w:type="spellEnd"/>
      <w:r>
        <w:rPr>
          <w:sz w:val="23"/>
          <w:szCs w:val="23"/>
        </w:rPr>
        <w:t xml:space="preserve"> </w:t>
      </w:r>
      <w:commentRangeEnd w:id="38"/>
      <w:r w:rsidR="00717CDE">
        <w:rPr>
          <w:rStyle w:val="CommentReference"/>
        </w:rPr>
        <w:commentReference w:id="38"/>
      </w:r>
      <w:r>
        <w:rPr>
          <w:sz w:val="23"/>
          <w:szCs w:val="23"/>
        </w:rPr>
        <w:t xml:space="preserve">(also called </w:t>
      </w:r>
      <w:proofErr w:type="spellStart"/>
      <w:r>
        <w:rPr>
          <w:sz w:val="23"/>
          <w:szCs w:val="23"/>
        </w:rPr>
        <w:t>Yaḷandūra</w:t>
      </w:r>
      <w:proofErr w:type="spellEnd"/>
      <w:r>
        <w:rPr>
          <w:sz w:val="23"/>
          <w:szCs w:val="23"/>
        </w:rPr>
        <w:t xml:space="preserve"> </w:t>
      </w:r>
      <w:proofErr w:type="spellStart"/>
      <w:r>
        <w:rPr>
          <w:sz w:val="23"/>
          <w:szCs w:val="23"/>
        </w:rPr>
        <w:t>Paṇḍita</w:t>
      </w:r>
      <w:proofErr w:type="spellEnd"/>
      <w:r w:rsidR="00717CDE">
        <w:rPr>
          <w:sz w:val="23"/>
          <w:szCs w:val="23"/>
        </w:rPr>
        <w:t xml:space="preserve"> and </w:t>
      </w:r>
      <w:proofErr w:type="spellStart"/>
      <w:r>
        <w:rPr>
          <w:sz w:val="23"/>
          <w:szCs w:val="23"/>
        </w:rPr>
        <w:t>Yelandur</w:t>
      </w:r>
      <w:proofErr w:type="spellEnd"/>
      <w:r>
        <w:rPr>
          <w:sz w:val="23"/>
          <w:szCs w:val="23"/>
        </w:rPr>
        <w:t xml:space="preserve"> Pundit) as his prime minister. According to Wilks (1869 [1810], 124), this led many to believe that the king intended to be initiated as a Jain. Several scholars have also maintained that </w:t>
      </w:r>
      <w:proofErr w:type="spellStart"/>
      <w:r>
        <w:rPr>
          <w:sz w:val="23"/>
          <w:szCs w:val="23"/>
        </w:rPr>
        <w:t>Cikkadēvarāja</w:t>
      </w:r>
      <w:proofErr w:type="spellEnd"/>
      <w:r>
        <w:rPr>
          <w:sz w:val="23"/>
          <w:szCs w:val="23"/>
        </w:rPr>
        <w:t xml:space="preserve"> was a practicing </w:t>
      </w:r>
      <w:commentRangeStart w:id="39"/>
      <w:proofErr w:type="spellStart"/>
      <w:r>
        <w:rPr>
          <w:i/>
          <w:iCs/>
          <w:sz w:val="23"/>
          <w:szCs w:val="23"/>
        </w:rPr>
        <w:t>jaṅgama</w:t>
      </w:r>
      <w:proofErr w:type="spellEnd"/>
      <w:r w:rsidR="00097E55">
        <w:rPr>
          <w:sz w:val="23"/>
          <w:szCs w:val="23"/>
        </w:rPr>
        <w:t xml:space="preserve">, a wandering </w:t>
      </w:r>
      <w:proofErr w:type="spellStart"/>
      <w:r w:rsidR="00097E55">
        <w:rPr>
          <w:sz w:val="23"/>
          <w:szCs w:val="23"/>
        </w:rPr>
        <w:t>Vīraśaiva</w:t>
      </w:r>
      <w:proofErr w:type="spellEnd"/>
      <w:r w:rsidR="00097E55">
        <w:rPr>
          <w:sz w:val="23"/>
          <w:szCs w:val="23"/>
        </w:rPr>
        <w:t xml:space="preserve"> priest</w:t>
      </w:r>
      <w:r>
        <w:rPr>
          <w:i/>
          <w:iCs/>
          <w:sz w:val="23"/>
          <w:szCs w:val="23"/>
        </w:rPr>
        <w:t xml:space="preserve"> </w:t>
      </w:r>
      <w:commentRangeEnd w:id="39"/>
      <w:r w:rsidR="00EA2C47">
        <w:rPr>
          <w:rStyle w:val="CommentReference"/>
        </w:rPr>
        <w:commentReference w:id="39"/>
      </w:r>
      <w:r>
        <w:rPr>
          <w:sz w:val="23"/>
          <w:szCs w:val="23"/>
        </w:rPr>
        <w:t>(</w:t>
      </w:r>
      <w:proofErr w:type="spellStart"/>
      <w:r>
        <w:rPr>
          <w:sz w:val="23"/>
          <w:szCs w:val="23"/>
        </w:rPr>
        <w:t>Śastri</w:t>
      </w:r>
      <w:proofErr w:type="spellEnd"/>
      <w:r>
        <w:rPr>
          <w:sz w:val="23"/>
          <w:szCs w:val="23"/>
        </w:rPr>
        <w:t xml:space="preserve"> 1920, 47; Rice 1897, 2461). C. </w:t>
      </w:r>
      <w:proofErr w:type="spellStart"/>
      <w:r>
        <w:rPr>
          <w:sz w:val="23"/>
          <w:szCs w:val="23"/>
        </w:rPr>
        <w:t>Hayavadana</w:t>
      </w:r>
      <w:proofErr w:type="spellEnd"/>
      <w:r>
        <w:rPr>
          <w:sz w:val="23"/>
          <w:szCs w:val="23"/>
        </w:rPr>
        <w:t xml:space="preserve"> Rao (1943, 482), a colonial historian of the Mysore court, followed Wilks in arguing that </w:t>
      </w:r>
      <w:proofErr w:type="spellStart"/>
      <w:r>
        <w:rPr>
          <w:sz w:val="23"/>
          <w:szCs w:val="23"/>
        </w:rPr>
        <w:t>Cikkadēvarāja</w:t>
      </w:r>
      <w:proofErr w:type="spellEnd"/>
      <w:r>
        <w:rPr>
          <w:sz w:val="23"/>
          <w:szCs w:val="23"/>
        </w:rPr>
        <w:t xml:space="preserve"> remained a devout “</w:t>
      </w:r>
      <w:proofErr w:type="spellStart"/>
      <w:r>
        <w:rPr>
          <w:i/>
          <w:iCs/>
          <w:sz w:val="23"/>
          <w:szCs w:val="23"/>
        </w:rPr>
        <w:t>jangam</w:t>
      </w:r>
      <w:proofErr w:type="spellEnd"/>
      <w:r>
        <w:rPr>
          <w:sz w:val="23"/>
          <w:szCs w:val="23"/>
        </w:rPr>
        <w:t>”</w:t>
      </w:r>
      <w:r>
        <w:rPr>
          <w:i/>
          <w:iCs/>
          <w:sz w:val="23"/>
          <w:szCs w:val="23"/>
        </w:rPr>
        <w:t xml:space="preserve"> </w:t>
      </w:r>
      <w:r>
        <w:rPr>
          <w:sz w:val="23"/>
          <w:szCs w:val="23"/>
        </w:rPr>
        <w:t xml:space="preserve">from the time of his coronation through the early years as king. Of note in each of these </w:t>
      </w:r>
      <w:commentRangeStart w:id="40"/>
      <w:r>
        <w:rPr>
          <w:sz w:val="23"/>
          <w:szCs w:val="23"/>
        </w:rPr>
        <w:t>colonial</w:t>
      </w:r>
      <w:r w:rsidR="00097E55">
        <w:rPr>
          <w:sz w:val="23"/>
          <w:szCs w:val="23"/>
        </w:rPr>
        <w:t>-era</w:t>
      </w:r>
      <w:r>
        <w:rPr>
          <w:sz w:val="23"/>
          <w:szCs w:val="23"/>
        </w:rPr>
        <w:t xml:space="preserve"> </w:t>
      </w:r>
      <w:commentRangeEnd w:id="40"/>
      <w:r w:rsidR="009B1FCC">
        <w:rPr>
          <w:rStyle w:val="CommentReference"/>
        </w:rPr>
        <w:commentReference w:id="40"/>
      </w:r>
      <w:r>
        <w:rPr>
          <w:sz w:val="23"/>
          <w:szCs w:val="23"/>
        </w:rPr>
        <w:t xml:space="preserve">sources </w:t>
      </w:r>
      <w:proofErr w:type="gramStart"/>
      <w:r>
        <w:rPr>
          <w:sz w:val="23"/>
          <w:szCs w:val="23"/>
        </w:rPr>
        <w:t>is</w:t>
      </w:r>
      <w:proofErr w:type="gramEnd"/>
      <w:r>
        <w:rPr>
          <w:sz w:val="23"/>
          <w:szCs w:val="23"/>
        </w:rPr>
        <w:t xml:space="preserve"> that </w:t>
      </w:r>
      <w:proofErr w:type="spellStart"/>
      <w:r w:rsidR="00097E55">
        <w:rPr>
          <w:sz w:val="23"/>
          <w:szCs w:val="23"/>
        </w:rPr>
        <w:t>Śrī</w:t>
      </w:r>
      <w:proofErr w:type="spellEnd"/>
      <w:r w:rsidR="00097E55">
        <w:rPr>
          <w:sz w:val="23"/>
          <w:szCs w:val="23"/>
        </w:rPr>
        <w:t xml:space="preserve"> </w:t>
      </w:r>
      <w:commentRangeStart w:id="41"/>
      <w:proofErr w:type="spellStart"/>
      <w:r>
        <w:rPr>
          <w:sz w:val="23"/>
          <w:szCs w:val="23"/>
        </w:rPr>
        <w:t>Vaiṣṇava</w:t>
      </w:r>
      <w:commentRangeEnd w:id="41"/>
      <w:proofErr w:type="spellEnd"/>
      <w:r w:rsidR="000E437B">
        <w:rPr>
          <w:rStyle w:val="CommentReference"/>
        </w:rPr>
        <w:commentReference w:id="41"/>
      </w:r>
      <w:r>
        <w:rPr>
          <w:sz w:val="23"/>
          <w:szCs w:val="23"/>
        </w:rPr>
        <w:t xml:space="preserve">, </w:t>
      </w:r>
      <w:proofErr w:type="spellStart"/>
      <w:r>
        <w:rPr>
          <w:sz w:val="23"/>
          <w:szCs w:val="23"/>
        </w:rPr>
        <w:t>Vīraśaiva</w:t>
      </w:r>
      <w:proofErr w:type="spellEnd"/>
      <w:r>
        <w:rPr>
          <w:sz w:val="23"/>
          <w:szCs w:val="23"/>
        </w:rPr>
        <w:t xml:space="preserve">, and </w:t>
      </w:r>
      <w:commentRangeStart w:id="42"/>
      <w:r>
        <w:rPr>
          <w:sz w:val="23"/>
          <w:szCs w:val="23"/>
        </w:rPr>
        <w:t xml:space="preserve">Jain </w:t>
      </w:r>
      <w:commentRangeEnd w:id="42"/>
      <w:r w:rsidR="000E437B">
        <w:rPr>
          <w:rStyle w:val="CommentReference"/>
        </w:rPr>
        <w:commentReference w:id="42"/>
      </w:r>
      <w:r>
        <w:rPr>
          <w:sz w:val="23"/>
          <w:szCs w:val="23"/>
        </w:rPr>
        <w:t xml:space="preserve">are all treated as distinct traditions. There is no implication that </w:t>
      </w:r>
      <w:proofErr w:type="spellStart"/>
      <w:r w:rsidR="00097E55">
        <w:rPr>
          <w:sz w:val="23"/>
          <w:szCs w:val="23"/>
        </w:rPr>
        <w:t>Śrī</w:t>
      </w:r>
      <w:proofErr w:type="spellEnd"/>
      <w:r w:rsidR="00097E55">
        <w:rPr>
          <w:sz w:val="23"/>
          <w:szCs w:val="23"/>
        </w:rPr>
        <w:t xml:space="preserve"> </w:t>
      </w:r>
      <w:proofErr w:type="spellStart"/>
      <w:r>
        <w:rPr>
          <w:sz w:val="23"/>
          <w:szCs w:val="23"/>
        </w:rPr>
        <w:t>Vaiṣṇavism</w:t>
      </w:r>
      <w:proofErr w:type="spellEnd"/>
      <w:r>
        <w:rPr>
          <w:sz w:val="23"/>
          <w:szCs w:val="23"/>
        </w:rPr>
        <w:t xml:space="preserve"> and </w:t>
      </w:r>
      <w:proofErr w:type="spellStart"/>
      <w:r>
        <w:rPr>
          <w:sz w:val="23"/>
          <w:szCs w:val="23"/>
        </w:rPr>
        <w:t>Vīraśaivism</w:t>
      </w:r>
      <w:proofErr w:type="spellEnd"/>
      <w:r>
        <w:rPr>
          <w:sz w:val="23"/>
          <w:szCs w:val="23"/>
        </w:rPr>
        <w:t xml:space="preserve"> are any closer to one another as “Hindu” traditions than they are to Jainism, but they are all shown as equally competing for recognition and supremacy in Cikkadēvarāja’s court. Moreover, it appears that while they jockeyed for position and patronage—and contrary to broader theological and ideological positioning—these traditions were </w:t>
      </w:r>
      <w:r w:rsidR="00097E55">
        <w:rPr>
          <w:sz w:val="23"/>
          <w:szCs w:val="23"/>
        </w:rPr>
        <w:t>not portrayed</w:t>
      </w:r>
      <w:r w:rsidR="00097E55">
        <w:rPr>
          <w:sz w:val="23"/>
          <w:szCs w:val="23"/>
        </w:rPr>
        <w:t xml:space="preserve"> </w:t>
      </w:r>
      <w:r>
        <w:rPr>
          <w:sz w:val="23"/>
          <w:szCs w:val="23"/>
        </w:rPr>
        <w:t xml:space="preserve">to be mutually exclusive with the king simultaneously participating in rituals associated with all three traditions. </w:t>
      </w:r>
    </w:p>
    <w:p w14:paraId="0691A0C8" w14:textId="0EEFC87A"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These same sources point to the civil strife of 1686 as an important turning point for the sectarian affiliation of the Woḍeyar court. After losing the city of Madurai and paying a </w:t>
      </w:r>
      <w:r>
        <w:rPr>
          <w:rFonts w:eastAsia="Times New Roman" w:cs="Times New Roman"/>
          <w:color w:val="000000"/>
        </w:rPr>
        <w:lastRenderedPageBreak/>
        <w:t xml:space="preserve">handsome ransom for peace earlier in the same year, the Mysore kingdom was weakened and its coffers dwindling. </w:t>
      </w:r>
      <w:proofErr w:type="spellStart"/>
      <w:r>
        <w:rPr>
          <w:rFonts w:eastAsia="Times New Roman" w:cs="Times New Roman"/>
          <w:color w:val="000000"/>
        </w:rPr>
        <w:t>Cikkadēvarāja</w:t>
      </w:r>
      <w:proofErr w:type="spellEnd"/>
      <w:r>
        <w:rPr>
          <w:rFonts w:eastAsia="Times New Roman" w:cs="Times New Roman"/>
          <w:color w:val="000000"/>
        </w:rPr>
        <w:t xml:space="preserve"> therefore worked to reconcile the state’s financial burden by increasing tax revenues in his domains, especially some of his newly acquired domains in the north. The exact amount that was levied on the yield is not known for certain. While many sources claim that the king raised the taxes on the land up to one-third of the produce, twice as much as the one-sixth prescribed in most tradition</w:t>
      </w:r>
      <w:r w:rsidR="009C083F">
        <w:rPr>
          <w:rFonts w:eastAsia="Times New Roman" w:cs="Times New Roman"/>
          <w:color w:val="000000"/>
        </w:rPr>
        <w:t>al</w:t>
      </w:r>
      <w:r>
        <w:rPr>
          <w:rFonts w:eastAsia="Times New Roman" w:cs="Times New Roman"/>
          <w:color w:val="000000"/>
        </w:rPr>
        <w:t xml:space="preserve"> legal texts (e.g.</w:t>
      </w:r>
      <w:r w:rsidR="001F4EDB">
        <w:rPr>
          <w:rFonts w:eastAsia="Times New Roman" w:cs="Times New Roman"/>
          <w:color w:val="000000"/>
        </w:rPr>
        <w:t>,</w:t>
      </w:r>
      <w:r>
        <w:rPr>
          <w:rFonts w:eastAsia="Times New Roman" w:cs="Times New Roman"/>
          <w:color w:val="000000"/>
        </w:rPr>
        <w:t xml:space="preserve"> </w:t>
      </w:r>
      <w:r>
        <w:rPr>
          <w:rFonts w:eastAsia="Times New Roman" w:cs="Times New Roman"/>
          <w:i/>
          <w:iCs/>
          <w:color w:val="000000"/>
        </w:rPr>
        <w:t xml:space="preserve">Manu </w:t>
      </w:r>
      <w:proofErr w:type="spellStart"/>
      <w:proofErr w:type="gramStart"/>
      <w:r>
        <w:rPr>
          <w:rFonts w:eastAsia="Times New Roman" w:cs="Times New Roman"/>
          <w:i/>
          <w:iCs/>
          <w:color w:val="000000"/>
        </w:rPr>
        <w:t>Smṛti</w:t>
      </w:r>
      <w:proofErr w:type="spellEnd"/>
      <w:r>
        <w:rPr>
          <w:rFonts w:eastAsia="Times New Roman" w:cs="Times New Roman"/>
          <w:color w:val="000000"/>
        </w:rPr>
        <w:t>)(</w:t>
      </w:r>
      <w:proofErr w:type="gramEnd"/>
      <w:r>
        <w:rPr>
          <w:rFonts w:eastAsia="Times New Roman" w:cs="Times New Roman"/>
          <w:color w:val="000000"/>
        </w:rPr>
        <w:t>Wilks 1869 [1810], 124</w:t>
      </w:r>
      <w:r w:rsidR="009C083F">
        <w:rPr>
          <w:rFonts w:eastAsia="Times New Roman" w:cs="Times New Roman"/>
          <w:color w:val="000000"/>
        </w:rPr>
        <w:t>–</w:t>
      </w:r>
      <w:r>
        <w:rPr>
          <w:rFonts w:eastAsia="Times New Roman" w:cs="Times New Roman"/>
          <w:color w:val="000000"/>
        </w:rPr>
        <w:t xml:space="preserve">128), others claim that </w:t>
      </w:r>
      <w:proofErr w:type="spellStart"/>
      <w:r>
        <w:rPr>
          <w:rFonts w:eastAsia="Times New Roman" w:cs="Times New Roman"/>
          <w:color w:val="000000"/>
        </w:rPr>
        <w:t>Cikkadēvarāja</w:t>
      </w:r>
      <w:proofErr w:type="spellEnd"/>
      <w:r>
        <w:rPr>
          <w:rFonts w:eastAsia="Times New Roman" w:cs="Times New Roman"/>
          <w:color w:val="000000"/>
        </w:rPr>
        <w:t xml:space="preserve"> simply started enforcing tax collection (Rice 1897, 2462). Regardless of the amount, provincial cultivators resented the increased economic burden. These cultivators included residents of the erstwhile </w:t>
      </w:r>
      <w:proofErr w:type="spellStart"/>
      <w:r>
        <w:rPr>
          <w:rFonts w:eastAsia="Times New Roman" w:cs="Times New Roman"/>
          <w:color w:val="000000"/>
        </w:rPr>
        <w:t>Keḷadi</w:t>
      </w:r>
      <w:proofErr w:type="spellEnd"/>
      <w:r>
        <w:rPr>
          <w:rFonts w:eastAsia="Times New Roman" w:cs="Times New Roman"/>
          <w:color w:val="000000"/>
        </w:rPr>
        <w:t xml:space="preserve"> kingdom of </w:t>
      </w:r>
      <w:proofErr w:type="spellStart"/>
      <w:r>
        <w:rPr>
          <w:rFonts w:eastAsia="Times New Roman" w:cs="Times New Roman"/>
          <w:color w:val="000000"/>
        </w:rPr>
        <w:t>Ikkēri</w:t>
      </w:r>
      <w:proofErr w:type="spellEnd"/>
      <w:r>
        <w:rPr>
          <w:rFonts w:eastAsia="Times New Roman" w:cs="Times New Roman"/>
          <w:color w:val="000000"/>
        </w:rPr>
        <w:t xml:space="preserve"> when </w:t>
      </w:r>
      <w:proofErr w:type="spellStart"/>
      <w:r>
        <w:rPr>
          <w:rFonts w:eastAsia="Times New Roman" w:cs="Times New Roman"/>
          <w:color w:val="000000"/>
        </w:rPr>
        <w:t>Cikkadēvarāja’s</w:t>
      </w:r>
      <w:proofErr w:type="spellEnd"/>
      <w:r>
        <w:rPr>
          <w:rFonts w:eastAsia="Times New Roman" w:cs="Times New Roman"/>
          <w:color w:val="000000"/>
        </w:rPr>
        <w:t xml:space="preserve"> army defeated </w:t>
      </w:r>
      <w:proofErr w:type="spellStart"/>
      <w:r>
        <w:rPr>
          <w:rFonts w:eastAsia="Times New Roman" w:cs="Times New Roman"/>
          <w:color w:val="000000"/>
        </w:rPr>
        <w:t>Basappa</w:t>
      </w:r>
      <w:proofErr w:type="spellEnd"/>
      <w:r>
        <w:rPr>
          <w:rFonts w:eastAsia="Times New Roman" w:cs="Times New Roman"/>
          <w:color w:val="000000"/>
        </w:rPr>
        <w:t xml:space="preserve"> </w:t>
      </w:r>
      <w:proofErr w:type="spellStart"/>
      <w:r>
        <w:rPr>
          <w:rFonts w:eastAsia="Times New Roman" w:cs="Times New Roman"/>
          <w:color w:val="000000"/>
        </w:rPr>
        <w:t>Nāyaka</w:t>
      </w:r>
      <w:proofErr w:type="spellEnd"/>
      <w:r>
        <w:rPr>
          <w:rFonts w:eastAsia="Times New Roman" w:cs="Times New Roman"/>
          <w:color w:val="000000"/>
        </w:rPr>
        <w:t xml:space="preserve"> in 1682. The Mysore and Keḷadi kingdoms had been involved in ongoing conflicts throughout the </w:t>
      </w:r>
      <w:r w:rsidR="0026115A">
        <w:rPr>
          <w:rFonts w:eastAsia="Times New Roman" w:cs="Times New Roman"/>
          <w:color w:val="000000"/>
        </w:rPr>
        <w:t>seventeenth</w:t>
      </w:r>
      <w:r>
        <w:rPr>
          <w:rFonts w:eastAsia="Times New Roman" w:cs="Times New Roman"/>
          <w:color w:val="000000"/>
        </w:rPr>
        <w:t xml:space="preserve"> century, and the Mysore armies had regularly attacked these lands for decades. The kingdom was annexed by Cikkadēvarāja in 1682, but after the tax reforms were put into place in 1686, a large part of the territory reportedly revolted against </w:t>
      </w:r>
      <w:proofErr w:type="spellStart"/>
      <w:r>
        <w:rPr>
          <w:rFonts w:eastAsia="Times New Roman" w:cs="Times New Roman"/>
          <w:color w:val="000000"/>
        </w:rPr>
        <w:t>Cikkadēvarāja</w:t>
      </w:r>
      <w:proofErr w:type="spellEnd"/>
      <w:r>
        <w:rPr>
          <w:rFonts w:eastAsia="Times New Roman" w:cs="Times New Roman"/>
          <w:color w:val="000000"/>
        </w:rPr>
        <w:t xml:space="preserve">. The ruler and many of the subjects of the </w:t>
      </w:r>
      <w:proofErr w:type="spellStart"/>
      <w:r>
        <w:rPr>
          <w:rFonts w:eastAsia="Times New Roman" w:cs="Times New Roman"/>
          <w:color w:val="000000"/>
        </w:rPr>
        <w:t>Ikk</w:t>
      </w:r>
      <w:r w:rsidR="00093A3D">
        <w:rPr>
          <w:rFonts w:eastAsia="Times New Roman" w:cs="Times New Roman"/>
          <w:color w:val="000000"/>
        </w:rPr>
        <w:t>ē</w:t>
      </w:r>
      <w:r>
        <w:rPr>
          <w:rFonts w:eastAsia="Times New Roman" w:cs="Times New Roman"/>
          <w:color w:val="000000"/>
        </w:rPr>
        <w:t>ri</w:t>
      </w:r>
      <w:proofErr w:type="spellEnd"/>
      <w:r>
        <w:rPr>
          <w:rFonts w:eastAsia="Times New Roman" w:cs="Times New Roman"/>
          <w:color w:val="000000"/>
        </w:rPr>
        <w:t xml:space="preserve"> kingdom had been </w:t>
      </w:r>
      <w:proofErr w:type="spellStart"/>
      <w:r>
        <w:rPr>
          <w:rFonts w:eastAsia="Times New Roman" w:cs="Times New Roman"/>
          <w:color w:val="000000"/>
        </w:rPr>
        <w:t>Vīraśaiva-Līngāyatas</w:t>
      </w:r>
      <w:proofErr w:type="spellEnd"/>
      <w:r>
        <w:rPr>
          <w:rFonts w:eastAsia="Times New Roman" w:cs="Times New Roman"/>
          <w:color w:val="000000"/>
        </w:rPr>
        <w:t xml:space="preserve">, and the network of </w:t>
      </w:r>
      <w:proofErr w:type="spellStart"/>
      <w:r>
        <w:rPr>
          <w:rFonts w:eastAsia="Times New Roman" w:cs="Times New Roman"/>
          <w:i/>
          <w:iCs/>
          <w:color w:val="000000"/>
        </w:rPr>
        <w:t>jaṅgama</w:t>
      </w:r>
      <w:r w:rsidRPr="00320622">
        <w:rPr>
          <w:rFonts w:eastAsia="Times New Roman" w:cs="Times New Roman"/>
          <w:color w:val="000000"/>
        </w:rPr>
        <w:t>s</w:t>
      </w:r>
      <w:proofErr w:type="spellEnd"/>
      <w:r>
        <w:rPr>
          <w:rFonts w:eastAsia="Times New Roman" w:cs="Times New Roman"/>
          <w:i/>
          <w:iCs/>
          <w:color w:val="000000"/>
        </w:rPr>
        <w:t xml:space="preserve"> </w:t>
      </w:r>
      <w:r>
        <w:rPr>
          <w:rFonts w:eastAsia="Times New Roman" w:cs="Times New Roman"/>
          <w:color w:val="000000"/>
        </w:rPr>
        <w:t xml:space="preserve">and their vast system of </w:t>
      </w:r>
      <w:proofErr w:type="spellStart"/>
      <w:r>
        <w:rPr>
          <w:rFonts w:eastAsia="Times New Roman" w:cs="Times New Roman"/>
          <w:i/>
          <w:iCs/>
          <w:color w:val="000000"/>
        </w:rPr>
        <w:t>maṭhas</w:t>
      </w:r>
      <w:proofErr w:type="spellEnd"/>
      <w:r>
        <w:rPr>
          <w:rFonts w:eastAsia="Times New Roman" w:cs="Times New Roman"/>
          <w:color w:val="000000"/>
        </w:rPr>
        <w:t xml:space="preserve"> throughout the region was allegedly instrumental in organizing the revolt. It was accordingly the</w:t>
      </w:r>
      <w:r w:rsidR="0054649F">
        <w:rPr>
          <w:rFonts w:eastAsia="Times New Roman" w:cs="Times New Roman"/>
          <w:color w:val="000000"/>
        </w:rPr>
        <w:t xml:space="preserve"> </w:t>
      </w:r>
      <w:proofErr w:type="spellStart"/>
      <w:r>
        <w:rPr>
          <w:rFonts w:eastAsia="Times New Roman" w:cs="Times New Roman"/>
          <w:color w:val="000000"/>
        </w:rPr>
        <w:t>Vīraśaiva-Līngāyata</w:t>
      </w:r>
      <w:proofErr w:type="spellEnd"/>
      <w:r>
        <w:rPr>
          <w:rFonts w:eastAsia="Times New Roman" w:cs="Times New Roman"/>
          <w:i/>
          <w:iCs/>
          <w:color w:val="000000"/>
        </w:rPr>
        <w:t xml:space="preserve"> </w:t>
      </w:r>
      <w:r>
        <w:rPr>
          <w:rFonts w:eastAsia="Times New Roman" w:cs="Times New Roman"/>
          <w:color w:val="000000"/>
        </w:rPr>
        <w:t>religion against which the state retaliated. Ironically, if we take Wilks’</w:t>
      </w:r>
      <w:r w:rsidR="0054649F">
        <w:rPr>
          <w:rFonts w:eastAsia="Times New Roman" w:cs="Times New Roman"/>
          <w:color w:val="000000"/>
        </w:rPr>
        <w:t>s</w:t>
      </w:r>
      <w:r>
        <w:rPr>
          <w:rFonts w:eastAsia="Times New Roman" w:cs="Times New Roman"/>
          <w:color w:val="000000"/>
        </w:rPr>
        <w:t xml:space="preserve"> account at its </w:t>
      </w:r>
      <w:proofErr w:type="gramStart"/>
      <w:r>
        <w:rPr>
          <w:rFonts w:eastAsia="Times New Roman" w:cs="Times New Roman"/>
          <w:color w:val="000000"/>
        </w:rPr>
        <w:t>word,</w:t>
      </w:r>
      <w:proofErr w:type="gramEnd"/>
      <w:r>
        <w:rPr>
          <w:rFonts w:eastAsia="Times New Roman" w:cs="Times New Roman"/>
          <w:color w:val="000000"/>
        </w:rPr>
        <w:t xml:space="preserve"> it was the effective organization of the </w:t>
      </w:r>
      <w:proofErr w:type="spellStart"/>
      <w:r>
        <w:rPr>
          <w:rFonts w:eastAsia="Times New Roman" w:cs="Times New Roman"/>
          <w:color w:val="000000"/>
        </w:rPr>
        <w:t>Vīraśaiva-Līngāyatas</w:t>
      </w:r>
      <w:proofErr w:type="spellEnd"/>
      <w:r>
        <w:rPr>
          <w:rFonts w:eastAsia="Times New Roman" w:cs="Times New Roman"/>
          <w:i/>
          <w:iCs/>
          <w:color w:val="000000"/>
        </w:rPr>
        <w:t xml:space="preserve"> </w:t>
      </w:r>
      <w:r>
        <w:rPr>
          <w:rFonts w:eastAsia="Times New Roman" w:cs="Times New Roman"/>
          <w:color w:val="000000"/>
        </w:rPr>
        <w:t xml:space="preserve">that led them to become peripheral in the royal networks of religious practice and patronage. </w:t>
      </w:r>
    </w:p>
    <w:p w14:paraId="1BD1CDC8" w14:textId="40206A13"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Due to a dearth of sources, it is difficult to accurately reconstruct how the events of this rebellion unfolded. The only contemporaneous source that attests to the rebellion of </w:t>
      </w:r>
      <w:r>
        <w:rPr>
          <w:rFonts w:eastAsia="Times New Roman" w:cs="Times New Roman"/>
          <w:color w:val="000000"/>
        </w:rPr>
        <w:lastRenderedPageBreak/>
        <w:t>1686 is a letter sent from the Jesuit missionary P. Louis de Mello to R.</w:t>
      </w:r>
      <w:r w:rsidR="001C7850">
        <w:rPr>
          <w:rFonts w:eastAsia="Times New Roman" w:cs="Times New Roman"/>
          <w:color w:val="000000"/>
        </w:rPr>
        <w:t> </w:t>
      </w:r>
      <w:r>
        <w:rPr>
          <w:rFonts w:eastAsia="Times New Roman" w:cs="Times New Roman"/>
          <w:color w:val="000000"/>
        </w:rPr>
        <w:t xml:space="preserve">P. de </w:t>
      </w:r>
      <w:proofErr w:type="spellStart"/>
      <w:r>
        <w:rPr>
          <w:rFonts w:eastAsia="Times New Roman" w:cs="Times New Roman"/>
          <w:color w:val="000000"/>
        </w:rPr>
        <w:t>Noyelle</w:t>
      </w:r>
      <w:proofErr w:type="spellEnd"/>
      <w:r>
        <w:rPr>
          <w:rFonts w:eastAsia="Times New Roman" w:cs="Times New Roman"/>
          <w:color w:val="000000"/>
        </w:rPr>
        <w:t>, the leader of the Jesuits (“</w:t>
      </w:r>
      <w:r w:rsidRPr="00320622">
        <w:rPr>
          <w:rFonts w:ascii="Cambria" w:eastAsia="Times New Roman" w:hAnsi="Cambria" w:cs="Times New Roman"/>
          <w:color w:val="000000"/>
        </w:rPr>
        <w:t>general de la compagnie de Jésus</w:t>
      </w:r>
      <w:r>
        <w:rPr>
          <w:rFonts w:eastAsia="Times New Roman" w:cs="Times New Roman"/>
          <w:color w:val="000000"/>
        </w:rPr>
        <w:t>”), that is also dated 1686 (</w:t>
      </w:r>
      <w:proofErr w:type="spellStart"/>
      <w:r>
        <w:rPr>
          <w:rFonts w:eastAsia="Times New Roman" w:cs="Times New Roman"/>
          <w:color w:val="000000"/>
        </w:rPr>
        <w:t>Bétrand</w:t>
      </w:r>
      <w:proofErr w:type="spellEnd"/>
      <w:r>
        <w:rPr>
          <w:rFonts w:eastAsia="Times New Roman" w:cs="Times New Roman"/>
          <w:color w:val="000000"/>
        </w:rPr>
        <w:t xml:space="preserve"> 1850, 376</w:t>
      </w:r>
      <w:r w:rsidR="001C7850">
        <w:rPr>
          <w:rFonts w:eastAsia="Times New Roman" w:cs="Times New Roman"/>
          <w:color w:val="000000"/>
        </w:rPr>
        <w:t>–</w:t>
      </w:r>
      <w:r>
        <w:rPr>
          <w:rFonts w:eastAsia="Times New Roman" w:cs="Times New Roman"/>
          <w:color w:val="000000"/>
        </w:rPr>
        <w:t>404). His account of the events is as follows:</w:t>
      </w:r>
    </w:p>
    <w:p w14:paraId="5AD0432D" w14:textId="4C9253CC" w:rsidR="00A63A65" w:rsidRDefault="00000000">
      <w:pPr>
        <w:spacing w:line="480" w:lineRule="auto"/>
        <w:ind w:left="720"/>
        <w:rPr>
          <w:rFonts w:eastAsia="Times New Roman" w:cs="Times New Roman"/>
          <w:color w:val="000000"/>
          <w:sz w:val="20"/>
          <w:szCs w:val="20"/>
        </w:rPr>
      </w:pPr>
      <w:r>
        <w:rPr>
          <w:rFonts w:eastAsia="Times New Roman" w:cs="Times New Roman"/>
          <w:color w:val="000000"/>
          <w:sz w:val="20"/>
          <w:szCs w:val="20"/>
        </w:rPr>
        <w:t xml:space="preserve">To provide for the expenses of war, the king of Mysore exerted on the eastern provinces of its states exactions and cruelties so revolting that his subjects rose </w:t>
      </w:r>
      <w:proofErr w:type="spellStart"/>
      <w:r>
        <w:rPr>
          <w:rFonts w:eastAsia="Times New Roman" w:cs="Times New Roman"/>
          <w:i/>
          <w:iCs/>
          <w:color w:val="000000"/>
          <w:sz w:val="20"/>
          <w:szCs w:val="20"/>
        </w:rPr>
        <w:t>en</w:t>
      </w:r>
      <w:proofErr w:type="spellEnd"/>
      <w:r>
        <w:rPr>
          <w:rFonts w:eastAsia="Times New Roman" w:cs="Times New Roman"/>
          <w:i/>
          <w:iCs/>
          <w:color w:val="000000"/>
          <w:sz w:val="20"/>
          <w:szCs w:val="20"/>
        </w:rPr>
        <w:t xml:space="preserve"> masse</w:t>
      </w:r>
      <w:r>
        <w:rPr>
          <w:rFonts w:eastAsia="Times New Roman" w:cs="Times New Roman"/>
          <w:color w:val="000000"/>
          <w:sz w:val="20"/>
          <w:szCs w:val="20"/>
        </w:rPr>
        <w:t xml:space="preserve"> against him and against all his ministers. Driven by their </w:t>
      </w:r>
      <w:commentRangeStart w:id="43"/>
      <w:r>
        <w:rPr>
          <w:rFonts w:eastAsia="Times New Roman" w:cs="Times New Roman"/>
          <w:color w:val="000000"/>
          <w:sz w:val="20"/>
          <w:szCs w:val="20"/>
        </w:rPr>
        <w:t>weak</w:t>
      </w:r>
      <w:r w:rsidR="00093A3D">
        <w:rPr>
          <w:rFonts w:eastAsia="Times New Roman" w:cs="Times New Roman"/>
          <w:color w:val="000000"/>
          <w:sz w:val="20"/>
          <w:szCs w:val="20"/>
        </w:rPr>
        <w:t>en</w:t>
      </w:r>
      <w:r>
        <w:rPr>
          <w:rFonts w:eastAsia="Times New Roman" w:cs="Times New Roman"/>
          <w:color w:val="000000"/>
          <w:sz w:val="20"/>
          <w:szCs w:val="20"/>
        </w:rPr>
        <w:t>ing</w:t>
      </w:r>
      <w:commentRangeEnd w:id="43"/>
      <w:r>
        <w:commentReference w:id="43"/>
      </w:r>
      <w:r>
        <w:rPr>
          <w:rFonts w:eastAsia="Times New Roman" w:cs="Times New Roman"/>
          <w:color w:val="000000"/>
          <w:sz w:val="20"/>
          <w:szCs w:val="20"/>
        </w:rPr>
        <w:t xml:space="preserve"> losses and current agony and without reflection on the future, as all the enslaved peoples who are deprived of patriotic sentiments, they formed two great armies and chose for their generals two brahmins, leaders of the sects of </w:t>
      </w:r>
      <w:proofErr w:type="spellStart"/>
      <w:r>
        <w:rPr>
          <w:rFonts w:eastAsia="Times New Roman" w:cs="Times New Roman"/>
          <w:color w:val="000000"/>
          <w:sz w:val="20"/>
          <w:szCs w:val="20"/>
        </w:rPr>
        <w:t>Viṣṇu</w:t>
      </w:r>
      <w:proofErr w:type="spellEnd"/>
      <w:r>
        <w:rPr>
          <w:rFonts w:eastAsia="Times New Roman" w:cs="Times New Roman"/>
          <w:color w:val="000000"/>
          <w:sz w:val="20"/>
          <w:szCs w:val="20"/>
        </w:rPr>
        <w:t xml:space="preserve"> and Śiva (</w:t>
      </w:r>
      <w:proofErr w:type="spellStart"/>
      <w:r>
        <w:rPr>
          <w:rFonts w:eastAsia="Times New Roman" w:cs="Times New Roman"/>
          <w:color w:val="000000"/>
          <w:sz w:val="20"/>
          <w:szCs w:val="20"/>
        </w:rPr>
        <w:t>Bétrand</w:t>
      </w:r>
      <w:proofErr w:type="spellEnd"/>
      <w:r>
        <w:rPr>
          <w:rFonts w:eastAsia="Times New Roman" w:cs="Times New Roman"/>
          <w:color w:val="000000"/>
          <w:sz w:val="20"/>
          <w:szCs w:val="20"/>
        </w:rPr>
        <w:t xml:space="preserve"> 1850, </w:t>
      </w:r>
      <w:commentRangeStart w:id="44"/>
      <w:r>
        <w:rPr>
          <w:rFonts w:eastAsia="Times New Roman" w:cs="Times New Roman"/>
          <w:color w:val="000000"/>
          <w:sz w:val="20"/>
          <w:szCs w:val="20"/>
        </w:rPr>
        <w:t>377</w:t>
      </w:r>
      <w:commentRangeEnd w:id="44"/>
      <w:r w:rsidR="00BC5690">
        <w:rPr>
          <w:rStyle w:val="CommentReference"/>
        </w:rPr>
        <w:commentReference w:id="44"/>
      </w:r>
      <w:r w:rsidR="00093A3D">
        <w:rPr>
          <w:rFonts w:eastAsia="Times New Roman" w:cs="Times New Roman"/>
          <w:color w:val="000000"/>
          <w:sz w:val="20"/>
          <w:szCs w:val="20"/>
        </w:rPr>
        <w:t>; my translation</w:t>
      </w:r>
      <w:r>
        <w:rPr>
          <w:rFonts w:eastAsia="Times New Roman" w:cs="Times New Roman"/>
          <w:color w:val="000000"/>
          <w:sz w:val="20"/>
          <w:szCs w:val="20"/>
        </w:rPr>
        <w:t xml:space="preserve">). </w:t>
      </w:r>
    </w:p>
    <w:p w14:paraId="02AE072B" w14:textId="77777777" w:rsidR="00A63A65" w:rsidRDefault="00000000">
      <w:pPr>
        <w:spacing w:line="480" w:lineRule="auto"/>
        <w:ind w:left="720"/>
        <w:rPr>
          <w:rFonts w:eastAsia="Times New Roman" w:cs="Times New Roman"/>
          <w:color w:val="000000"/>
          <w:sz w:val="20"/>
          <w:szCs w:val="20"/>
        </w:rPr>
      </w:pPr>
      <w:r>
        <w:rPr>
          <w:rFonts w:eastAsia="Times New Roman" w:cs="Times New Roman"/>
          <w:color w:val="000000"/>
          <w:sz w:val="20"/>
          <w:szCs w:val="20"/>
        </w:rPr>
        <w:t>…</w:t>
      </w:r>
    </w:p>
    <w:p w14:paraId="6955ACB9" w14:textId="369239C3" w:rsidR="00A63A65" w:rsidRDefault="00000000">
      <w:pPr>
        <w:spacing w:line="480" w:lineRule="auto"/>
        <w:ind w:left="720"/>
        <w:rPr>
          <w:rFonts w:eastAsia="Times New Roman" w:cs="Times New Roman"/>
          <w:color w:val="000000"/>
          <w:sz w:val="20"/>
          <w:szCs w:val="20"/>
        </w:rPr>
      </w:pPr>
      <w:r>
        <w:rPr>
          <w:rFonts w:eastAsia="Times New Roman" w:cs="Times New Roman"/>
          <w:color w:val="000000"/>
          <w:sz w:val="20"/>
          <w:szCs w:val="20"/>
        </w:rPr>
        <w:t xml:space="preserve">The king of Mysore, outraged at their insolence, dispatched against them an army charged with setting everything to fire and blood, and to pass the rebels at the edge of the sword, regardless of age and sex. These cruel orders were carried out; the pagodas of </w:t>
      </w:r>
      <w:proofErr w:type="spellStart"/>
      <w:r>
        <w:rPr>
          <w:rFonts w:eastAsia="Times New Roman" w:cs="Times New Roman"/>
          <w:color w:val="000000"/>
          <w:sz w:val="20"/>
          <w:szCs w:val="20"/>
        </w:rPr>
        <w:t>Viṣṇu</w:t>
      </w:r>
      <w:proofErr w:type="spellEnd"/>
      <w:r>
        <w:rPr>
          <w:rFonts w:eastAsia="Times New Roman" w:cs="Times New Roman"/>
          <w:color w:val="000000"/>
          <w:sz w:val="20"/>
          <w:szCs w:val="20"/>
        </w:rPr>
        <w:t xml:space="preserve"> and Śiva were destroyed, and their immense revenues were confiscated for the benefit of the royal treasury. Those idolaters who escaped the carnage fled to the mountains and in the forests, where they lead a miserable life (</w:t>
      </w:r>
      <w:proofErr w:type="spellStart"/>
      <w:r>
        <w:rPr>
          <w:rFonts w:eastAsia="Times New Roman" w:cs="Times New Roman"/>
          <w:color w:val="000000"/>
          <w:sz w:val="20"/>
          <w:szCs w:val="20"/>
        </w:rPr>
        <w:t>Bétrand</w:t>
      </w:r>
      <w:proofErr w:type="spellEnd"/>
      <w:r>
        <w:rPr>
          <w:rFonts w:eastAsia="Times New Roman" w:cs="Times New Roman"/>
          <w:color w:val="000000"/>
          <w:sz w:val="20"/>
          <w:szCs w:val="20"/>
        </w:rPr>
        <w:t xml:space="preserve"> 1850, 380</w:t>
      </w:r>
      <w:r w:rsidR="00E44FD2">
        <w:rPr>
          <w:rFonts w:eastAsia="Times New Roman" w:cs="Times New Roman"/>
          <w:color w:val="000000"/>
          <w:sz w:val="20"/>
          <w:szCs w:val="20"/>
        </w:rPr>
        <w:t>–</w:t>
      </w:r>
      <w:r>
        <w:rPr>
          <w:rFonts w:eastAsia="Times New Roman" w:cs="Times New Roman"/>
          <w:color w:val="000000"/>
          <w:sz w:val="20"/>
          <w:szCs w:val="20"/>
        </w:rPr>
        <w:t>381; my translation).</w:t>
      </w:r>
    </w:p>
    <w:p w14:paraId="16D02694" w14:textId="4B59D3A2" w:rsidR="00A63A65" w:rsidRDefault="00000000">
      <w:pPr>
        <w:spacing w:line="480" w:lineRule="auto"/>
        <w:rPr>
          <w:rFonts w:eastAsia="Times New Roman" w:cs="Times New Roman"/>
          <w:color w:val="000000"/>
        </w:rPr>
      </w:pPr>
      <w:r>
        <w:rPr>
          <w:rFonts w:eastAsia="Times New Roman" w:cs="Times New Roman"/>
          <w:color w:val="000000"/>
        </w:rPr>
        <w:t xml:space="preserve">The letter continues describing how the revolt specifically targeted Christians in the region and the heroes that arose from their ranks to fight for the cause of Christ. While this partisan emphasis in the letter contains obvious exaggeration, the letter blames the king for the insurrection against Mysore in 1686 and identifies religious leaders as its </w:t>
      </w:r>
      <w:r w:rsidR="00093A3D">
        <w:rPr>
          <w:rFonts w:eastAsia="Times New Roman" w:cs="Times New Roman"/>
          <w:color w:val="000000"/>
        </w:rPr>
        <w:t>instigators</w:t>
      </w:r>
      <w:r>
        <w:rPr>
          <w:rFonts w:eastAsia="Times New Roman" w:cs="Times New Roman"/>
          <w:color w:val="000000"/>
        </w:rPr>
        <w:t xml:space="preserve">. </w:t>
      </w:r>
    </w:p>
    <w:p w14:paraId="4A64BF6D" w14:textId="295C441F" w:rsidR="00A63A65" w:rsidRDefault="00000000">
      <w:pPr>
        <w:spacing w:line="480" w:lineRule="auto"/>
        <w:ind w:firstLine="720"/>
        <w:rPr>
          <w:rFonts w:eastAsia="Times New Roman" w:cs="Times New Roman"/>
          <w:color w:val="000000"/>
        </w:rPr>
      </w:pPr>
      <w:r>
        <w:rPr>
          <w:rFonts w:eastAsia="Times New Roman" w:cs="Times New Roman"/>
          <w:color w:val="000000"/>
        </w:rPr>
        <w:t>The later and more detailed accounts of the colonial</w:t>
      </w:r>
      <w:r w:rsidR="00093A3D">
        <w:rPr>
          <w:rFonts w:eastAsia="Times New Roman" w:cs="Times New Roman"/>
          <w:color w:val="000000"/>
        </w:rPr>
        <w:t>-era</w:t>
      </w:r>
      <w:r>
        <w:rPr>
          <w:rFonts w:eastAsia="Times New Roman" w:cs="Times New Roman"/>
          <w:color w:val="000000"/>
        </w:rPr>
        <w:t xml:space="preserve"> historians claim to be based on oral histories from the region. These oral histories were recorded in English (Wilks 1869 [1810]) and Kannada (</w:t>
      </w:r>
      <w:commentRangeStart w:id="45"/>
      <w:proofErr w:type="spellStart"/>
      <w:r>
        <w:rPr>
          <w:rFonts w:eastAsia="Times New Roman" w:cs="Times New Roman"/>
          <w:color w:val="000000"/>
        </w:rPr>
        <w:t>D</w:t>
      </w:r>
      <w:r w:rsidR="00093A3D">
        <w:rPr>
          <w:rFonts w:eastAsia="Times New Roman" w:cs="Times New Roman"/>
          <w:color w:val="000000"/>
        </w:rPr>
        <w:t>ē</w:t>
      </w:r>
      <w:r>
        <w:rPr>
          <w:rFonts w:eastAsia="Times New Roman" w:cs="Times New Roman"/>
          <w:color w:val="000000"/>
        </w:rPr>
        <w:t>vachandra</w:t>
      </w:r>
      <w:commentRangeEnd w:id="45"/>
      <w:proofErr w:type="spellEnd"/>
      <w:r w:rsidR="00935265">
        <w:rPr>
          <w:rStyle w:val="CommentReference"/>
        </w:rPr>
        <w:commentReference w:id="45"/>
      </w:r>
      <w:r>
        <w:rPr>
          <w:rFonts w:eastAsia="Times New Roman" w:cs="Times New Roman"/>
          <w:color w:val="000000"/>
        </w:rPr>
        <w:t xml:space="preserve"> 1988 [1838]) and appear alongside the details of Cikkadēvarāja’s pluralistic court from the early nineteenth century described above. Not </w:t>
      </w:r>
      <w:r>
        <w:rPr>
          <w:rFonts w:eastAsia="Times New Roman" w:cs="Times New Roman"/>
          <w:color w:val="000000"/>
        </w:rPr>
        <w:lastRenderedPageBreak/>
        <w:t>only do these sources give a more thorough accounting of the rebellion but they relate gruesome tales of treachery, religious persecution, and mass murder</w:t>
      </w:r>
      <w:r>
        <w:rPr>
          <w:sz w:val="23"/>
          <w:szCs w:val="23"/>
        </w:rPr>
        <w:t>.</w:t>
      </w:r>
    </w:p>
    <w:p w14:paraId="16109344" w14:textId="5E9B0583"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The first such account of the rebellion was recorded and printed by Mark Wilks, the acting Resident of the British East India </w:t>
      </w:r>
      <w:r w:rsidR="000A2BFC">
        <w:rPr>
          <w:rFonts w:eastAsia="Times New Roman" w:cs="Times New Roman"/>
          <w:color w:val="000000"/>
        </w:rPr>
        <w:t>C</w:t>
      </w:r>
      <w:r>
        <w:rPr>
          <w:rFonts w:eastAsia="Times New Roman" w:cs="Times New Roman"/>
          <w:color w:val="000000"/>
        </w:rPr>
        <w:t xml:space="preserve">ompany in the Mysore court of </w:t>
      </w:r>
      <w:proofErr w:type="spellStart"/>
      <w:r>
        <w:rPr>
          <w:rFonts w:eastAsia="Times New Roman" w:cs="Times New Roman"/>
          <w:color w:val="000000"/>
        </w:rPr>
        <w:t>Krishnaraja</w:t>
      </w:r>
      <w:proofErr w:type="spellEnd"/>
      <w:r>
        <w:rPr>
          <w:rFonts w:eastAsia="Times New Roman" w:cs="Times New Roman"/>
          <w:color w:val="000000"/>
        </w:rPr>
        <w:t xml:space="preserve"> </w:t>
      </w:r>
      <w:proofErr w:type="spellStart"/>
      <w:r>
        <w:rPr>
          <w:rFonts w:eastAsia="Times New Roman" w:cs="Times New Roman"/>
          <w:color w:val="000000"/>
        </w:rPr>
        <w:t>Wo</w:t>
      </w:r>
      <w:r w:rsidR="00566DE7">
        <w:rPr>
          <w:rFonts w:eastAsia="Times New Roman" w:cs="Times New Roman"/>
          <w:color w:val="000000"/>
        </w:rPr>
        <w:t>ḍ</w:t>
      </w:r>
      <w:r>
        <w:rPr>
          <w:rFonts w:eastAsia="Times New Roman" w:cs="Times New Roman"/>
          <w:color w:val="000000"/>
        </w:rPr>
        <w:t>eyar</w:t>
      </w:r>
      <w:proofErr w:type="spellEnd"/>
      <w:r>
        <w:rPr>
          <w:rFonts w:eastAsia="Times New Roman" w:cs="Times New Roman"/>
          <w:color w:val="000000"/>
        </w:rPr>
        <w:t xml:space="preserve"> III from 1803</w:t>
      </w:r>
      <w:r w:rsidR="00965134">
        <w:rPr>
          <w:rFonts w:eastAsia="Times New Roman" w:cs="Times New Roman"/>
          <w:color w:val="000000"/>
        </w:rPr>
        <w:t>–</w:t>
      </w:r>
      <w:r>
        <w:rPr>
          <w:rFonts w:eastAsia="Times New Roman" w:cs="Times New Roman"/>
          <w:color w:val="000000"/>
        </w:rPr>
        <w:t>1808 (Carlyle 1900, 279</w:t>
      </w:r>
      <w:r w:rsidR="000A2BFC">
        <w:rPr>
          <w:rFonts w:eastAsia="Times New Roman" w:cs="Times New Roman"/>
          <w:color w:val="000000"/>
        </w:rPr>
        <w:t>–</w:t>
      </w:r>
      <w:r>
        <w:rPr>
          <w:rFonts w:eastAsia="Times New Roman" w:cs="Times New Roman"/>
          <w:color w:val="000000"/>
        </w:rPr>
        <w:t>280). Wilks bases his version of the events on a “traditionary account</w:t>
      </w:r>
      <w:r w:rsidR="000A2BFC">
        <w:rPr>
          <w:rFonts w:eastAsia="Times New Roman" w:cs="Times New Roman"/>
          <w:color w:val="000000"/>
        </w:rPr>
        <w:t xml:space="preserve"> . . . </w:t>
      </w:r>
      <w:r>
        <w:rPr>
          <w:rFonts w:eastAsia="Times New Roman" w:cs="Times New Roman"/>
          <w:color w:val="000000"/>
        </w:rPr>
        <w:t xml:space="preserve">[that] has been traced through several channels to sources of the most respectable information” (Wilks 1869, 129). Like Jesuit missionary P. Louis de Mello, Wilks’s account is replete with allusions of mismanagement that certainly served his role as an agent of the British East India Company, and it seems likely that his version of the story was shaped by </w:t>
      </w:r>
      <w:proofErr w:type="spellStart"/>
      <w:r w:rsidR="00BA1800">
        <w:rPr>
          <w:rFonts w:eastAsia="Times New Roman" w:cs="Times New Roman"/>
          <w:color w:val="000000"/>
        </w:rPr>
        <w:t>Liṅgāyat</w:t>
      </w:r>
      <w:proofErr w:type="spellEnd"/>
      <w:r>
        <w:rPr>
          <w:rFonts w:eastAsia="Times New Roman" w:cs="Times New Roman"/>
          <w:color w:val="000000"/>
        </w:rPr>
        <w:t xml:space="preserve"> informers and his personal predilection for their “rational reform” (Wilks 1869, 514). The first recorded Kannada version of the events is in the </w:t>
      </w:r>
      <w:proofErr w:type="spellStart"/>
      <w:r>
        <w:rPr>
          <w:rFonts w:eastAsia="Times New Roman" w:cs="Times New Roman"/>
          <w:i/>
          <w:iCs/>
          <w:color w:val="000000"/>
        </w:rPr>
        <w:t>Rājāvaḷi</w:t>
      </w:r>
      <w:proofErr w:type="spellEnd"/>
      <w:r>
        <w:rPr>
          <w:rFonts w:eastAsia="Times New Roman" w:cs="Times New Roman"/>
          <w:i/>
          <w:iCs/>
          <w:color w:val="000000"/>
        </w:rPr>
        <w:t xml:space="preserve"> </w:t>
      </w:r>
      <w:proofErr w:type="spellStart"/>
      <w:r>
        <w:rPr>
          <w:rFonts w:eastAsia="Times New Roman" w:cs="Times New Roman"/>
          <w:i/>
          <w:iCs/>
          <w:color w:val="000000"/>
        </w:rPr>
        <w:t>Kathāsāra</w:t>
      </w:r>
      <w:proofErr w:type="spellEnd"/>
      <w:r>
        <w:rPr>
          <w:rFonts w:eastAsia="Times New Roman" w:cs="Times New Roman"/>
          <w:i/>
          <w:iCs/>
          <w:color w:val="000000"/>
        </w:rPr>
        <w:t xml:space="preserve"> </w:t>
      </w:r>
      <w:r>
        <w:rPr>
          <w:rFonts w:eastAsia="Times New Roman" w:cs="Times New Roman"/>
          <w:color w:val="000000"/>
        </w:rPr>
        <w:t xml:space="preserve">(1838) that was written by the Jain poet </w:t>
      </w:r>
      <w:proofErr w:type="spellStart"/>
      <w:r>
        <w:rPr>
          <w:rFonts w:eastAsia="Times New Roman" w:cs="Times New Roman"/>
          <w:color w:val="000000"/>
        </w:rPr>
        <w:t>Dēvacandra</w:t>
      </w:r>
      <w:proofErr w:type="spellEnd"/>
      <w:r>
        <w:rPr>
          <w:rFonts w:eastAsia="Times New Roman" w:cs="Times New Roman"/>
          <w:color w:val="000000"/>
        </w:rPr>
        <w:t xml:space="preserve">. </w:t>
      </w:r>
      <w:proofErr w:type="spellStart"/>
      <w:r>
        <w:rPr>
          <w:rFonts w:eastAsia="Times New Roman" w:cs="Times New Roman"/>
          <w:color w:val="000000"/>
        </w:rPr>
        <w:t>Dēvacandra’s</w:t>
      </w:r>
      <w:proofErr w:type="spellEnd"/>
      <w:r>
        <w:rPr>
          <w:rFonts w:eastAsia="Times New Roman" w:cs="Times New Roman"/>
          <w:color w:val="000000"/>
        </w:rPr>
        <w:t xml:space="preserve"> </w:t>
      </w:r>
      <w:r w:rsidR="00093A3D">
        <w:rPr>
          <w:rFonts w:eastAsia="Times New Roman" w:cs="Times New Roman"/>
          <w:color w:val="000000"/>
        </w:rPr>
        <w:t>account</w:t>
      </w:r>
      <w:r>
        <w:rPr>
          <w:rFonts w:eastAsia="Times New Roman" w:cs="Times New Roman"/>
          <w:color w:val="000000"/>
        </w:rPr>
        <w:t xml:space="preserve"> of the story</w:t>
      </w:r>
      <w:r w:rsidR="00C66C8D">
        <w:rPr>
          <w:rFonts w:eastAsia="Times New Roman" w:cs="Times New Roman"/>
          <w:color w:val="000000"/>
        </w:rPr>
        <w:t>,</w:t>
      </w:r>
      <w:r>
        <w:rPr>
          <w:rFonts w:eastAsia="Times New Roman" w:cs="Times New Roman"/>
          <w:color w:val="000000"/>
        </w:rPr>
        <w:t xml:space="preserve"> </w:t>
      </w:r>
      <w:r w:rsidR="00093A3D">
        <w:rPr>
          <w:rFonts w:eastAsia="Times New Roman" w:cs="Times New Roman"/>
          <w:color w:val="000000"/>
        </w:rPr>
        <w:t xml:space="preserve">like the </w:t>
      </w:r>
      <w:proofErr w:type="spellStart"/>
      <w:r w:rsidR="00093A3D">
        <w:rPr>
          <w:rFonts w:eastAsia="Times New Roman" w:cs="Times New Roman"/>
          <w:color w:val="000000"/>
        </w:rPr>
        <w:t>Liṅgāyat</w:t>
      </w:r>
      <w:proofErr w:type="spellEnd"/>
      <w:r w:rsidR="00093A3D">
        <w:rPr>
          <w:rFonts w:eastAsia="Times New Roman" w:cs="Times New Roman"/>
          <w:color w:val="000000"/>
        </w:rPr>
        <w:t xml:space="preserve"> version related by Wilks</w:t>
      </w:r>
      <w:r>
        <w:rPr>
          <w:rFonts w:eastAsia="Times New Roman" w:cs="Times New Roman"/>
          <w:color w:val="000000"/>
        </w:rPr>
        <w:t xml:space="preserve">, is told from a </w:t>
      </w:r>
      <w:commentRangeStart w:id="46"/>
      <w:r>
        <w:rPr>
          <w:rFonts w:eastAsia="Times New Roman" w:cs="Times New Roman"/>
          <w:color w:val="000000"/>
        </w:rPr>
        <w:t>sectarian</w:t>
      </w:r>
      <w:commentRangeEnd w:id="46"/>
      <w:r w:rsidR="00C66C8D">
        <w:rPr>
          <w:rStyle w:val="CommentReference"/>
        </w:rPr>
        <w:commentReference w:id="46"/>
      </w:r>
      <w:r>
        <w:rPr>
          <w:rFonts w:eastAsia="Times New Roman" w:cs="Times New Roman"/>
          <w:color w:val="000000"/>
        </w:rPr>
        <w:t xml:space="preserve"> perspective, highlighting the ills that were perpetrated on the Mysore Jain community. It also must be noted that Wilks acknowledges in his preface that he worked closely with Mackenzie</w:t>
      </w:r>
      <w:r w:rsidR="00C66C8D">
        <w:rPr>
          <w:rFonts w:eastAsia="Times New Roman" w:cs="Times New Roman"/>
          <w:color w:val="000000"/>
        </w:rPr>
        <w:t>,</w:t>
      </w:r>
      <w:r>
        <w:rPr>
          <w:rFonts w:eastAsia="Times New Roman" w:cs="Times New Roman"/>
          <w:color w:val="000000"/>
        </w:rPr>
        <w:t xml:space="preserve"> who gave Wilks “unlimited access to the study of [his] collection</w:t>
      </w:r>
      <w:r w:rsidR="00C66C8D">
        <w:rPr>
          <w:rFonts w:eastAsia="Times New Roman" w:cs="Times New Roman"/>
          <w:color w:val="000000"/>
        </w:rPr>
        <w:t xml:space="preserve"> . . . </w:t>
      </w:r>
      <w:r>
        <w:rPr>
          <w:rFonts w:eastAsia="Times New Roman" w:cs="Times New Roman"/>
          <w:color w:val="000000"/>
        </w:rPr>
        <w:t xml:space="preserve">and to his establishment of learned native assistants” (Wilks 1869, xii); therefore, it is extremely likely that </w:t>
      </w:r>
      <w:proofErr w:type="spellStart"/>
      <w:r>
        <w:rPr>
          <w:rFonts w:eastAsia="Times New Roman" w:cs="Times New Roman"/>
          <w:color w:val="000000"/>
        </w:rPr>
        <w:t>Dēvacandra</w:t>
      </w:r>
      <w:proofErr w:type="spellEnd"/>
      <w:r>
        <w:rPr>
          <w:rFonts w:eastAsia="Times New Roman" w:cs="Times New Roman"/>
          <w:color w:val="000000"/>
        </w:rPr>
        <w:t xml:space="preserve"> was familiar with Wilks’s account and that they might have even had the opportunity to discuss one another’s version of the events. </w:t>
      </w:r>
    </w:p>
    <w:p w14:paraId="14EE42F1" w14:textId="2E792A1A"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Both Wilks and Dēvacandra point to the adoption of royal titles as the very first tension that later erupts into the full-blown rebellion. For Wilks, the problems began when </w:t>
      </w:r>
      <w:proofErr w:type="spellStart"/>
      <w:r>
        <w:rPr>
          <w:rFonts w:eastAsia="Times New Roman" w:cs="Times New Roman"/>
          <w:color w:val="000000"/>
        </w:rPr>
        <w:t>Cikkadēvarāja</w:t>
      </w:r>
      <w:proofErr w:type="spellEnd"/>
      <w:r>
        <w:rPr>
          <w:rFonts w:eastAsia="Times New Roman" w:cs="Times New Roman"/>
          <w:color w:val="000000"/>
        </w:rPr>
        <w:t xml:space="preserve"> forced the local, smaller rulers to renounce their royal titles, like </w:t>
      </w:r>
      <w:proofErr w:type="spellStart"/>
      <w:r>
        <w:rPr>
          <w:rFonts w:eastAsia="Times New Roman" w:cs="Times New Roman"/>
          <w:i/>
          <w:iCs/>
          <w:color w:val="000000"/>
        </w:rPr>
        <w:t>woḍeyar</w:t>
      </w:r>
      <w:proofErr w:type="spellEnd"/>
      <w:r>
        <w:rPr>
          <w:rFonts w:eastAsia="Times New Roman" w:cs="Times New Roman"/>
          <w:color w:val="000000"/>
        </w:rPr>
        <w:t xml:space="preserve">, </w:t>
      </w:r>
      <w:proofErr w:type="spellStart"/>
      <w:r>
        <w:rPr>
          <w:rFonts w:eastAsia="Times New Roman" w:cs="Times New Roman"/>
          <w:i/>
          <w:iCs/>
          <w:color w:val="000000"/>
        </w:rPr>
        <w:t>palegāra</w:t>
      </w:r>
      <w:proofErr w:type="spellEnd"/>
      <w:r>
        <w:rPr>
          <w:rFonts w:eastAsia="Times New Roman" w:cs="Times New Roman"/>
          <w:color w:val="000000"/>
        </w:rPr>
        <w:t xml:space="preserve">, and </w:t>
      </w:r>
      <w:proofErr w:type="spellStart"/>
      <w:r>
        <w:rPr>
          <w:rFonts w:eastAsia="Times New Roman" w:cs="Times New Roman"/>
          <w:i/>
          <w:iCs/>
          <w:color w:val="000000"/>
        </w:rPr>
        <w:t>rāja</w:t>
      </w:r>
      <w:proofErr w:type="spellEnd"/>
      <w:r>
        <w:rPr>
          <w:rFonts w:eastAsia="Times New Roman" w:cs="Times New Roman"/>
          <w:color w:val="000000"/>
        </w:rPr>
        <w:t xml:space="preserve"> and to join his court in official, albeit diminished, capacities and to cede </w:t>
      </w:r>
      <w:r>
        <w:rPr>
          <w:rFonts w:eastAsia="Times New Roman" w:cs="Times New Roman"/>
          <w:color w:val="000000"/>
        </w:rPr>
        <w:lastRenderedPageBreak/>
        <w:t>administration over legal and financial decisions within their realms to the Mysore king. According to Wilks, this angered the “</w:t>
      </w:r>
      <w:proofErr w:type="spellStart"/>
      <w:r>
        <w:rPr>
          <w:rFonts w:eastAsia="Times New Roman" w:cs="Times New Roman"/>
          <w:color w:val="000000"/>
        </w:rPr>
        <w:t>Jungum</w:t>
      </w:r>
      <w:proofErr w:type="spellEnd"/>
      <w:r>
        <w:rPr>
          <w:rFonts w:eastAsia="Times New Roman" w:cs="Times New Roman"/>
          <w:color w:val="000000"/>
        </w:rPr>
        <w:t xml:space="preserve"> priests” (i.e.</w:t>
      </w:r>
      <w:r w:rsidR="00821637">
        <w:rPr>
          <w:rFonts w:eastAsia="Times New Roman" w:cs="Times New Roman"/>
          <w:color w:val="000000"/>
        </w:rPr>
        <w:t>,</w:t>
      </w:r>
      <w:r>
        <w:rPr>
          <w:rFonts w:eastAsia="Times New Roman" w:cs="Times New Roman"/>
          <w:color w:val="000000"/>
        </w:rPr>
        <w:t xml:space="preserve"> </w:t>
      </w:r>
      <w:proofErr w:type="spellStart"/>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because they had formerly held enormous sway over the courts in these outlying feudatory territories. When the new financial reforms were enforced, the </w:t>
      </w:r>
      <w:proofErr w:type="spellStart"/>
      <w:r>
        <w:rPr>
          <w:rFonts w:eastAsia="Times New Roman" w:cs="Times New Roman"/>
          <w:color w:val="000000"/>
        </w:rPr>
        <w:t>V</w:t>
      </w:r>
      <w:r w:rsidR="003A4ECF">
        <w:rPr>
          <w:rFonts w:eastAsia="Times New Roman" w:cs="Times New Roman"/>
          <w:color w:val="000000"/>
        </w:rPr>
        <w:t>ī</w:t>
      </w:r>
      <w:r>
        <w:rPr>
          <w:rFonts w:eastAsia="Times New Roman" w:cs="Times New Roman"/>
          <w:color w:val="000000"/>
        </w:rPr>
        <w:t>raśaiva-</w:t>
      </w:r>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used this as an opportunity to push their followers into revolt. </w:t>
      </w:r>
    </w:p>
    <w:p w14:paraId="138AC39D" w14:textId="435EF807"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In </w:t>
      </w:r>
      <w:proofErr w:type="spellStart"/>
      <w:r>
        <w:rPr>
          <w:rFonts w:eastAsia="Times New Roman" w:cs="Times New Roman"/>
          <w:color w:val="000000"/>
        </w:rPr>
        <w:t>Dēvacandra’s</w:t>
      </w:r>
      <w:proofErr w:type="spellEnd"/>
      <w:r>
        <w:rPr>
          <w:rFonts w:eastAsia="Times New Roman" w:cs="Times New Roman"/>
          <w:color w:val="000000"/>
        </w:rPr>
        <w:t xml:space="preserve"> account, the controversy focused on the title </w:t>
      </w:r>
      <w:proofErr w:type="spellStart"/>
      <w:r w:rsidRPr="00320622">
        <w:rPr>
          <w:rFonts w:ascii="Cambria" w:eastAsia="Times New Roman" w:hAnsi="Cambria" w:cs="Times New Roman"/>
          <w:i/>
          <w:iCs/>
          <w:color w:val="000000"/>
        </w:rPr>
        <w:t>woḍeyar</w:t>
      </w:r>
      <w:proofErr w:type="spellEnd"/>
      <w:r>
        <w:rPr>
          <w:rFonts w:eastAsia="Times New Roman" w:cs="Times New Roman"/>
          <w:color w:val="000000"/>
        </w:rPr>
        <w:t xml:space="preserve">. During the </w:t>
      </w:r>
      <w:proofErr w:type="spellStart"/>
      <w:r>
        <w:rPr>
          <w:rFonts w:eastAsia="Times New Roman" w:cs="Times New Roman"/>
          <w:color w:val="000000"/>
        </w:rPr>
        <w:t>Vijayanagara</w:t>
      </w:r>
      <w:proofErr w:type="spellEnd"/>
      <w:r>
        <w:rPr>
          <w:rFonts w:eastAsia="Times New Roman" w:cs="Times New Roman"/>
          <w:color w:val="000000"/>
        </w:rPr>
        <w:t xml:space="preserve"> Empire, </w:t>
      </w:r>
      <w:proofErr w:type="spellStart"/>
      <w:r>
        <w:rPr>
          <w:rFonts w:eastAsia="Times New Roman" w:cs="Times New Roman"/>
          <w:i/>
          <w:iCs/>
          <w:color w:val="000000"/>
        </w:rPr>
        <w:t>oḍeyar</w:t>
      </w:r>
      <w:proofErr w:type="spellEnd"/>
      <w:r>
        <w:rPr>
          <w:rFonts w:eastAsia="Times New Roman" w:cs="Times New Roman"/>
          <w:color w:val="000000"/>
        </w:rPr>
        <w:t xml:space="preserve"> (also spelled </w:t>
      </w:r>
      <w:proofErr w:type="spellStart"/>
      <w:r>
        <w:rPr>
          <w:rFonts w:eastAsia="Times New Roman" w:cs="Times New Roman"/>
          <w:i/>
          <w:iCs/>
          <w:color w:val="000000"/>
        </w:rPr>
        <w:t>voḍeyar</w:t>
      </w:r>
      <w:proofErr w:type="spellEnd"/>
      <w:r>
        <w:rPr>
          <w:rFonts w:eastAsia="Times New Roman" w:cs="Times New Roman"/>
          <w:color w:val="000000"/>
        </w:rPr>
        <w:t xml:space="preserve">, </w:t>
      </w:r>
      <w:proofErr w:type="spellStart"/>
      <w:r>
        <w:rPr>
          <w:rFonts w:eastAsia="Times New Roman" w:cs="Times New Roman"/>
          <w:i/>
          <w:iCs/>
          <w:color w:val="000000"/>
        </w:rPr>
        <w:t>vaḍiyar</w:t>
      </w:r>
      <w:proofErr w:type="spellEnd"/>
      <w:r>
        <w:rPr>
          <w:rFonts w:eastAsia="Times New Roman" w:cs="Times New Roman"/>
          <w:color w:val="000000"/>
        </w:rPr>
        <w:t xml:space="preserve">, etc.) had been an administrative title for a petty chieftain. After the fall of the empire, many of the successor states transformed their titles to family names, such as the title </w:t>
      </w:r>
      <w:proofErr w:type="spellStart"/>
      <w:r>
        <w:rPr>
          <w:rFonts w:eastAsia="Times New Roman" w:cs="Times New Roman"/>
          <w:i/>
          <w:iCs/>
          <w:color w:val="000000"/>
        </w:rPr>
        <w:t>nāyaka</w:t>
      </w:r>
      <w:proofErr w:type="spellEnd"/>
      <w:r>
        <w:rPr>
          <w:rFonts w:eastAsia="Times New Roman" w:cs="Times New Roman"/>
          <w:color w:val="000000"/>
        </w:rPr>
        <w:t xml:space="preserve">. </w:t>
      </w:r>
      <w:r w:rsidR="000D4437">
        <w:rPr>
          <w:rFonts w:eastAsia="Times New Roman" w:cs="Times New Roman"/>
          <w:color w:val="000000"/>
        </w:rPr>
        <w:t xml:space="preserve">The title </w:t>
      </w:r>
      <w:proofErr w:type="spellStart"/>
      <w:r w:rsidR="000D4437">
        <w:rPr>
          <w:rFonts w:eastAsia="Times New Roman" w:cs="Times New Roman"/>
          <w:i/>
          <w:iCs/>
          <w:color w:val="000000"/>
        </w:rPr>
        <w:t>woḍeyar</w:t>
      </w:r>
      <w:proofErr w:type="spellEnd"/>
      <w:r w:rsidR="000D4437">
        <w:rPr>
          <w:rFonts w:eastAsia="Times New Roman" w:cs="Times New Roman"/>
          <w:i/>
          <w:iCs/>
          <w:color w:val="000000"/>
        </w:rPr>
        <w:t xml:space="preserve"> </w:t>
      </w:r>
      <w:r w:rsidR="000D4437">
        <w:rPr>
          <w:rFonts w:eastAsia="Times New Roman" w:cs="Times New Roman"/>
          <w:color w:val="000000"/>
        </w:rPr>
        <w:t xml:space="preserve">would become a point of contention with emerging kings and religious leaders adopting the sovereign title. </w:t>
      </w:r>
      <w:r>
        <w:rPr>
          <w:rFonts w:eastAsia="Times New Roman" w:cs="Times New Roman"/>
          <w:color w:val="000000"/>
        </w:rPr>
        <w:t xml:space="preserve">The Mysore </w:t>
      </w:r>
      <w:proofErr w:type="spellStart"/>
      <w:r>
        <w:rPr>
          <w:rFonts w:eastAsia="Times New Roman" w:cs="Times New Roman"/>
          <w:color w:val="000000"/>
        </w:rPr>
        <w:t>Wo</w:t>
      </w:r>
      <w:r w:rsidR="00566DE7">
        <w:rPr>
          <w:rFonts w:eastAsia="Times New Roman" w:cs="Times New Roman"/>
          <w:color w:val="000000"/>
        </w:rPr>
        <w:t>ḍ</w:t>
      </w:r>
      <w:r>
        <w:rPr>
          <w:rFonts w:eastAsia="Times New Roman" w:cs="Times New Roman"/>
          <w:color w:val="000000"/>
        </w:rPr>
        <w:t>eyars</w:t>
      </w:r>
      <w:proofErr w:type="spellEnd"/>
      <w:r>
        <w:rPr>
          <w:rFonts w:eastAsia="Times New Roman" w:cs="Times New Roman"/>
          <w:color w:val="000000"/>
        </w:rPr>
        <w:t xml:space="preserve"> adopted </w:t>
      </w:r>
      <w:proofErr w:type="spellStart"/>
      <w:r>
        <w:rPr>
          <w:rFonts w:eastAsia="Times New Roman" w:cs="Times New Roman"/>
          <w:i/>
          <w:iCs/>
          <w:color w:val="000000"/>
        </w:rPr>
        <w:t>woḍeyar</w:t>
      </w:r>
      <w:proofErr w:type="spellEnd"/>
      <w:r>
        <w:rPr>
          <w:rFonts w:eastAsia="Times New Roman" w:cs="Times New Roman"/>
          <w:color w:val="000000"/>
        </w:rPr>
        <w:t xml:space="preserve"> as their family name while changing their title to </w:t>
      </w:r>
      <w:proofErr w:type="spellStart"/>
      <w:r>
        <w:rPr>
          <w:rFonts w:eastAsia="Times New Roman" w:cs="Times New Roman"/>
          <w:i/>
          <w:iCs/>
          <w:color w:val="000000"/>
        </w:rPr>
        <w:t>rāja</w:t>
      </w:r>
      <w:proofErr w:type="spellEnd"/>
      <w:r>
        <w:rPr>
          <w:rFonts w:eastAsia="Times New Roman" w:cs="Times New Roman"/>
          <w:i/>
          <w:iCs/>
          <w:color w:val="000000"/>
        </w:rPr>
        <w:t xml:space="preserve"> </w:t>
      </w:r>
      <w:r>
        <w:rPr>
          <w:rFonts w:eastAsia="Times New Roman" w:cs="Times New Roman"/>
          <w:color w:val="000000"/>
        </w:rPr>
        <w:t xml:space="preserve">and </w:t>
      </w:r>
      <w:proofErr w:type="spellStart"/>
      <w:r>
        <w:rPr>
          <w:rFonts w:eastAsia="Times New Roman" w:cs="Times New Roman"/>
          <w:i/>
          <w:iCs/>
          <w:color w:val="000000"/>
        </w:rPr>
        <w:t>mahārāja</w:t>
      </w:r>
      <w:proofErr w:type="spellEnd"/>
      <w:r>
        <w:rPr>
          <w:rFonts w:eastAsia="Times New Roman" w:cs="Times New Roman"/>
          <w:color w:val="000000"/>
        </w:rPr>
        <w:t xml:space="preserve">. Simultaneously, however, </w:t>
      </w:r>
      <w:commentRangeStart w:id="47"/>
      <w:proofErr w:type="spellStart"/>
      <w:r>
        <w:rPr>
          <w:rFonts w:eastAsia="Times New Roman" w:cs="Times New Roman"/>
          <w:i/>
          <w:iCs/>
          <w:color w:val="000000"/>
        </w:rPr>
        <w:t>woḍeyar</w:t>
      </w:r>
      <w:proofErr w:type="spellEnd"/>
      <w:r>
        <w:rPr>
          <w:rFonts w:eastAsia="Times New Roman" w:cs="Times New Roman"/>
          <w:color w:val="000000"/>
        </w:rPr>
        <w:t xml:space="preserve"> had been adopted as the title for </w:t>
      </w:r>
      <w:proofErr w:type="spellStart"/>
      <w:r>
        <w:rPr>
          <w:rFonts w:eastAsia="Times New Roman" w:cs="Times New Roman"/>
          <w:color w:val="000000"/>
        </w:rPr>
        <w:t>V</w:t>
      </w:r>
      <w:r w:rsidR="00054F80">
        <w:rPr>
          <w:rFonts w:eastAsia="Times New Roman" w:cs="Times New Roman"/>
          <w:color w:val="000000"/>
        </w:rPr>
        <w:t>ī</w:t>
      </w:r>
      <w:r>
        <w:rPr>
          <w:rFonts w:eastAsia="Times New Roman" w:cs="Times New Roman"/>
          <w:color w:val="000000"/>
        </w:rPr>
        <w:t>raśaiva-</w:t>
      </w:r>
      <w:r w:rsidR="00BA1800">
        <w:rPr>
          <w:rFonts w:eastAsia="Times New Roman" w:cs="Times New Roman"/>
          <w:color w:val="000000"/>
        </w:rPr>
        <w:t>Liṅgāyat</w:t>
      </w:r>
      <w:proofErr w:type="spellEnd"/>
      <w:r>
        <w:rPr>
          <w:rFonts w:eastAsia="Times New Roman" w:cs="Times New Roman"/>
          <w:color w:val="000000"/>
        </w:rPr>
        <w:t xml:space="preserve"> swamis,</w:t>
      </w:r>
      <w:commentRangeEnd w:id="47"/>
      <w:r w:rsidR="00A17CFA">
        <w:rPr>
          <w:rStyle w:val="CommentReference"/>
        </w:rPr>
        <w:commentReference w:id="47"/>
      </w:r>
      <w:r>
        <w:rPr>
          <w:rFonts w:eastAsia="Times New Roman" w:cs="Times New Roman"/>
          <w:color w:val="000000"/>
        </w:rPr>
        <w:t xml:space="preserve"> particularly those who oversaw their </w:t>
      </w:r>
      <w:proofErr w:type="spellStart"/>
      <w:r>
        <w:rPr>
          <w:rFonts w:eastAsia="Times New Roman" w:cs="Times New Roman"/>
          <w:color w:val="000000"/>
        </w:rPr>
        <w:t>religio</w:t>
      </w:r>
      <w:proofErr w:type="spellEnd"/>
      <w:r>
        <w:rPr>
          <w:rFonts w:eastAsia="Times New Roman" w:cs="Times New Roman"/>
          <w:color w:val="000000"/>
        </w:rPr>
        <w:t xml:space="preserve">-political institutions or </w:t>
      </w:r>
      <w:proofErr w:type="spellStart"/>
      <w:r>
        <w:rPr>
          <w:rFonts w:eastAsia="Times New Roman" w:cs="Times New Roman"/>
          <w:i/>
          <w:iCs/>
          <w:color w:val="000000"/>
        </w:rPr>
        <w:t>maṭha</w:t>
      </w:r>
      <w:r w:rsidRPr="00320622">
        <w:rPr>
          <w:rFonts w:eastAsia="Times New Roman" w:cs="Times New Roman"/>
          <w:color w:val="000000"/>
        </w:rPr>
        <w:t>s</w:t>
      </w:r>
      <w:proofErr w:type="spellEnd"/>
      <w:r>
        <w:rPr>
          <w:rFonts w:eastAsia="Times New Roman" w:cs="Times New Roman"/>
          <w:color w:val="000000"/>
        </w:rPr>
        <w:t xml:space="preserve">. Dēvacandra suggests that the </w:t>
      </w:r>
      <w:proofErr w:type="spellStart"/>
      <w:r>
        <w:rPr>
          <w:rFonts w:eastAsia="Times New Roman" w:cs="Times New Roman"/>
          <w:color w:val="000000"/>
        </w:rPr>
        <w:t>Vīraśaiva</w:t>
      </w:r>
      <w:proofErr w:type="spellEnd"/>
      <w:r>
        <w:rPr>
          <w:rFonts w:eastAsia="Times New Roman" w:cs="Times New Roman"/>
          <w:color w:val="000000"/>
        </w:rPr>
        <w:t xml:space="preserve"> </w:t>
      </w:r>
      <w:proofErr w:type="spellStart"/>
      <w:r>
        <w:rPr>
          <w:rFonts w:eastAsia="Times New Roman" w:cs="Times New Roman"/>
          <w:i/>
          <w:iCs/>
          <w:color w:val="000000"/>
        </w:rPr>
        <w:t>maṭha</w:t>
      </w:r>
      <w:r w:rsidRPr="00320622">
        <w:rPr>
          <w:rFonts w:eastAsia="Times New Roman" w:cs="Times New Roman"/>
          <w:color w:val="000000"/>
        </w:rPr>
        <w:t>s</w:t>
      </w:r>
      <w:proofErr w:type="spellEnd"/>
      <w:r>
        <w:rPr>
          <w:rFonts w:eastAsia="Times New Roman" w:cs="Times New Roman"/>
          <w:color w:val="000000"/>
        </w:rPr>
        <w:t xml:space="preserve"> had become so powerful that </w:t>
      </w:r>
      <w:proofErr w:type="gramStart"/>
      <w:r>
        <w:rPr>
          <w:rFonts w:eastAsia="Times New Roman" w:cs="Times New Roman"/>
          <w:color w:val="000000"/>
        </w:rPr>
        <w:t xml:space="preserve">the </w:t>
      </w:r>
      <w:r w:rsidR="000D4437" w:rsidRPr="000D4437">
        <w:rPr>
          <w:rFonts w:eastAsia="Times New Roman" w:cs="Times New Roman"/>
          <w:color w:val="000000"/>
        </w:rPr>
        <w:t xml:space="preserve"> </w:t>
      </w:r>
      <w:proofErr w:type="spellStart"/>
      <w:r w:rsidR="000D4437">
        <w:rPr>
          <w:rFonts w:eastAsia="Times New Roman" w:cs="Times New Roman"/>
          <w:color w:val="000000"/>
        </w:rPr>
        <w:t>Vīraśaiva</w:t>
      </w:r>
      <w:proofErr w:type="gramEnd"/>
      <w:r w:rsidR="000D4437">
        <w:rPr>
          <w:rFonts w:eastAsia="Times New Roman" w:cs="Times New Roman"/>
          <w:color w:val="000000"/>
        </w:rPr>
        <w:t>-Liṅgāyat</w:t>
      </w:r>
      <w:proofErr w:type="spellEnd"/>
      <w:r>
        <w:rPr>
          <w:rFonts w:eastAsia="Times New Roman" w:cs="Times New Roman"/>
          <w:color w:val="000000"/>
        </w:rPr>
        <w:t xml:space="preserve"> </w:t>
      </w:r>
      <w:proofErr w:type="spellStart"/>
      <w:r>
        <w:rPr>
          <w:rFonts w:eastAsia="Times New Roman" w:cs="Times New Roman"/>
          <w:i/>
          <w:iCs/>
          <w:color w:val="000000"/>
        </w:rPr>
        <w:t>woḍeyars</w:t>
      </w:r>
      <w:proofErr w:type="spellEnd"/>
      <w:r>
        <w:rPr>
          <w:rFonts w:eastAsia="Times New Roman" w:cs="Times New Roman"/>
          <w:color w:val="000000"/>
        </w:rPr>
        <w:t xml:space="preserve"> wanted the title to themselves and desired to overthrow the Mysore state (1988, 347). </w:t>
      </w:r>
      <w:commentRangeStart w:id="48"/>
      <w:commentRangeEnd w:id="48"/>
      <w:r>
        <w:rPr>
          <w:rFonts w:eastAsia="Times New Roman" w:cs="Times New Roman"/>
          <w:color w:val="000000"/>
        </w:rPr>
        <w:commentReference w:id="48"/>
      </w:r>
    </w:p>
    <w:p w14:paraId="4D7F0A04" w14:textId="6E66E83E" w:rsidR="00A63A65" w:rsidRDefault="000D4437">
      <w:pPr>
        <w:spacing w:line="480" w:lineRule="auto"/>
        <w:ind w:firstLine="720"/>
        <w:rPr>
          <w:rFonts w:eastAsia="Times New Roman" w:cs="Times New Roman"/>
          <w:color w:val="000000"/>
        </w:rPr>
      </w:pPr>
      <w:r>
        <w:rPr>
          <w:rFonts w:eastAsia="Times New Roman" w:cs="Times New Roman"/>
          <w:color w:val="000000"/>
        </w:rPr>
        <w:t>While both</w:t>
      </w:r>
      <w:r>
        <w:rPr>
          <w:rFonts w:eastAsia="Times New Roman" w:cs="Times New Roman"/>
          <w:color w:val="000000"/>
        </w:rPr>
        <w:t xml:space="preserve"> </w:t>
      </w:r>
      <w:r w:rsidR="00000000">
        <w:rPr>
          <w:rFonts w:eastAsia="Times New Roman" w:cs="Times New Roman"/>
          <w:color w:val="000000"/>
        </w:rPr>
        <w:t>sources agree that the</w:t>
      </w:r>
      <w:r w:rsidRPr="000D4437">
        <w:rPr>
          <w:rFonts w:eastAsia="Times New Roman" w:cs="Times New Roman"/>
          <w:color w:val="000000"/>
        </w:rPr>
        <w:t xml:space="preserve"> </w:t>
      </w:r>
      <w:proofErr w:type="spellStart"/>
      <w:r>
        <w:rPr>
          <w:rFonts w:eastAsia="Times New Roman" w:cs="Times New Roman"/>
          <w:color w:val="000000"/>
        </w:rPr>
        <w:t>Vīraśaiva-Liṅgāyat</w:t>
      </w:r>
      <w:proofErr w:type="spellEnd"/>
      <w:r w:rsidR="00000000">
        <w:rPr>
          <w:rFonts w:eastAsia="Times New Roman" w:cs="Times New Roman"/>
          <w:color w:val="000000"/>
        </w:rPr>
        <w:t xml:space="preserve"> leaders stoked the insurrection and cut off Mysore’s revenue stream by encouraging the cultivators to cease agricultural work</w:t>
      </w:r>
      <w:r>
        <w:rPr>
          <w:rFonts w:eastAsia="Times New Roman" w:cs="Times New Roman"/>
          <w:color w:val="000000"/>
        </w:rPr>
        <w:t>,</w:t>
      </w:r>
      <w:r w:rsidR="00000000">
        <w:rPr>
          <w:rFonts w:eastAsia="Times New Roman" w:cs="Times New Roman"/>
          <w:color w:val="000000"/>
        </w:rPr>
        <w:t xml:space="preserve"> </w:t>
      </w:r>
      <w:proofErr w:type="spellStart"/>
      <w:r w:rsidR="00000000">
        <w:rPr>
          <w:rFonts w:eastAsia="Times New Roman" w:cs="Times New Roman"/>
          <w:color w:val="000000"/>
        </w:rPr>
        <w:t>Dēvacandra</w:t>
      </w:r>
      <w:proofErr w:type="spellEnd"/>
      <w:r>
        <w:rPr>
          <w:rFonts w:eastAsia="Times New Roman" w:cs="Times New Roman"/>
          <w:color w:val="000000"/>
        </w:rPr>
        <w:t xml:space="preserve"> </w:t>
      </w:r>
      <w:r w:rsidR="00000000">
        <w:rPr>
          <w:rFonts w:eastAsia="Times New Roman" w:cs="Times New Roman"/>
          <w:color w:val="000000"/>
        </w:rPr>
        <w:t xml:space="preserve">adds that the </w:t>
      </w:r>
      <w:proofErr w:type="spellStart"/>
      <w:r w:rsidR="00000000">
        <w:rPr>
          <w:rFonts w:eastAsia="Times New Roman" w:cs="Times New Roman"/>
          <w:i/>
          <w:iCs/>
          <w:color w:val="000000"/>
        </w:rPr>
        <w:t>jaṅgama</w:t>
      </w:r>
      <w:r w:rsidR="00000000" w:rsidRPr="00320622">
        <w:rPr>
          <w:rFonts w:eastAsia="Times New Roman" w:cs="Times New Roman"/>
          <w:color w:val="000000"/>
        </w:rPr>
        <w:t>s</w:t>
      </w:r>
      <w:proofErr w:type="spellEnd"/>
      <w:r w:rsidR="00000000">
        <w:rPr>
          <w:rFonts w:eastAsia="Times New Roman" w:cs="Times New Roman"/>
          <w:color w:val="000000"/>
        </w:rPr>
        <w:t xml:space="preserve"> and their followers took up arms and forced the king’s representatives out of the region. On the council of his Jain prime minister </w:t>
      </w:r>
      <w:proofErr w:type="spellStart"/>
      <w:r w:rsidR="00000000">
        <w:rPr>
          <w:rFonts w:eastAsia="Times New Roman" w:cs="Times New Roman"/>
          <w:color w:val="000000"/>
        </w:rPr>
        <w:t>Viśālākṣa</w:t>
      </w:r>
      <w:proofErr w:type="spellEnd"/>
      <w:r w:rsidR="00000000">
        <w:rPr>
          <w:rFonts w:eastAsia="Times New Roman" w:cs="Times New Roman"/>
          <w:color w:val="000000"/>
        </w:rPr>
        <w:t xml:space="preserve">, </w:t>
      </w:r>
      <w:proofErr w:type="spellStart"/>
      <w:r w:rsidR="00000000">
        <w:rPr>
          <w:rFonts w:eastAsia="Times New Roman" w:cs="Times New Roman"/>
          <w:color w:val="000000"/>
        </w:rPr>
        <w:t>Cikkadēvarāja</w:t>
      </w:r>
      <w:proofErr w:type="spellEnd"/>
      <w:r w:rsidR="00000000">
        <w:rPr>
          <w:rFonts w:eastAsia="Times New Roman" w:cs="Times New Roman"/>
          <w:color w:val="000000"/>
        </w:rPr>
        <w:t xml:space="preserve"> sent </w:t>
      </w:r>
      <w:proofErr w:type="spellStart"/>
      <w:r w:rsidR="00000000">
        <w:rPr>
          <w:rFonts w:eastAsia="Times New Roman" w:cs="Times New Roman"/>
          <w:color w:val="000000"/>
        </w:rPr>
        <w:t>Firdullā</w:t>
      </w:r>
      <w:proofErr w:type="spellEnd"/>
      <w:r w:rsidR="00000000">
        <w:rPr>
          <w:rFonts w:eastAsia="Times New Roman" w:cs="Times New Roman"/>
          <w:color w:val="000000"/>
        </w:rPr>
        <w:t xml:space="preserve"> </w:t>
      </w:r>
      <w:proofErr w:type="spellStart"/>
      <w:r w:rsidR="00000000">
        <w:rPr>
          <w:rFonts w:eastAsia="Times New Roman" w:cs="Times New Roman"/>
          <w:color w:val="000000"/>
        </w:rPr>
        <w:t>Khān</w:t>
      </w:r>
      <w:proofErr w:type="spellEnd"/>
      <w:r w:rsidR="00000000">
        <w:rPr>
          <w:rFonts w:eastAsia="Times New Roman" w:cs="Times New Roman"/>
          <w:color w:val="000000"/>
        </w:rPr>
        <w:t>, a junior officer (</w:t>
      </w:r>
      <w:proofErr w:type="spellStart"/>
      <w:r w:rsidR="00000000">
        <w:rPr>
          <w:rFonts w:eastAsia="Times New Roman" w:cs="Times New Roman"/>
          <w:i/>
          <w:iCs/>
          <w:color w:val="000000"/>
        </w:rPr>
        <w:t>jamādāra</w:t>
      </w:r>
      <w:proofErr w:type="spellEnd"/>
      <w:r w:rsidR="00000000">
        <w:rPr>
          <w:rFonts w:eastAsia="Times New Roman" w:cs="Times New Roman"/>
          <w:color w:val="000000"/>
        </w:rPr>
        <w:t xml:space="preserve">) from his cavalry. </w:t>
      </w:r>
      <w:commentRangeStart w:id="49"/>
      <w:r w:rsidR="00000000">
        <w:rPr>
          <w:rFonts w:eastAsia="Times New Roman" w:cs="Times New Roman"/>
          <w:color w:val="000000"/>
        </w:rPr>
        <w:t>After</w:t>
      </w:r>
      <w:commentRangeEnd w:id="49"/>
      <w:r w:rsidR="00FB611B">
        <w:rPr>
          <w:rStyle w:val="CommentReference"/>
        </w:rPr>
        <w:commentReference w:id="49"/>
      </w:r>
      <w:r w:rsidR="00000000">
        <w:rPr>
          <w:rFonts w:eastAsia="Times New Roman" w:cs="Times New Roman"/>
          <w:color w:val="000000"/>
        </w:rPr>
        <w:t xml:space="preserve"> </w:t>
      </w:r>
      <w:r w:rsidR="003B23E3">
        <w:rPr>
          <w:rFonts w:eastAsia="Times New Roman" w:cs="Times New Roman"/>
          <w:color w:val="000000"/>
        </w:rPr>
        <w:t xml:space="preserve">the </w:t>
      </w:r>
      <w:proofErr w:type="spellStart"/>
      <w:r w:rsidR="00E14FD7">
        <w:rPr>
          <w:rFonts w:eastAsia="Times New Roman" w:cs="Times New Roman"/>
          <w:color w:val="000000"/>
        </w:rPr>
        <w:t>Vīraśaiva-Liṅgāyats</w:t>
      </w:r>
      <w:commentRangeStart w:id="50"/>
      <w:commentRangeEnd w:id="50"/>
      <w:proofErr w:type="spellEnd"/>
      <w:r w:rsidR="00E14FD7">
        <w:rPr>
          <w:rFonts w:eastAsia="Times New Roman" w:cs="Times New Roman"/>
          <w:color w:val="000000"/>
        </w:rPr>
        <w:commentReference w:id="50"/>
      </w:r>
      <w:r w:rsidR="00E14FD7">
        <w:rPr>
          <w:rFonts w:eastAsia="Times New Roman" w:cs="Times New Roman"/>
          <w:color w:val="000000"/>
        </w:rPr>
        <w:t xml:space="preserve"> </w:t>
      </w:r>
      <w:proofErr w:type="spellStart"/>
      <w:r w:rsidR="00000000">
        <w:rPr>
          <w:rFonts w:eastAsia="Times New Roman" w:cs="Times New Roman"/>
          <w:i/>
          <w:iCs/>
          <w:color w:val="000000"/>
        </w:rPr>
        <w:t>oḍeyar</w:t>
      </w:r>
      <w:r w:rsidR="00000000" w:rsidRPr="00320622">
        <w:rPr>
          <w:rFonts w:eastAsia="Times New Roman" w:cs="Times New Roman"/>
          <w:color w:val="000000"/>
        </w:rPr>
        <w:t>s</w:t>
      </w:r>
      <w:proofErr w:type="spellEnd"/>
      <w:r w:rsidR="00E14FD7">
        <w:rPr>
          <w:rFonts w:eastAsia="Times New Roman" w:cs="Times New Roman"/>
          <w:color w:val="000000"/>
        </w:rPr>
        <w:t xml:space="preserve"> demanded</w:t>
      </w:r>
      <w:r w:rsidR="00000000" w:rsidRPr="003B23E3">
        <w:rPr>
          <w:rFonts w:eastAsia="Times New Roman" w:cs="Times New Roman"/>
          <w:color w:val="000000"/>
        </w:rPr>
        <w:t xml:space="preserve"> </w:t>
      </w:r>
      <w:r w:rsidR="00000000">
        <w:rPr>
          <w:rFonts w:eastAsia="Times New Roman" w:cs="Times New Roman"/>
          <w:color w:val="000000"/>
        </w:rPr>
        <w:t xml:space="preserve">that the Mysore kings cede their authority to the </w:t>
      </w:r>
      <w:proofErr w:type="spellStart"/>
      <w:r w:rsidR="00000000">
        <w:rPr>
          <w:rFonts w:eastAsia="Times New Roman" w:cs="Times New Roman"/>
          <w:color w:val="000000"/>
        </w:rPr>
        <w:t>V</w:t>
      </w:r>
      <w:r w:rsidR="003B23E3">
        <w:rPr>
          <w:rFonts w:eastAsia="Times New Roman" w:cs="Times New Roman"/>
          <w:color w:val="000000"/>
        </w:rPr>
        <w:t>ī</w:t>
      </w:r>
      <w:r w:rsidR="00000000">
        <w:rPr>
          <w:rFonts w:eastAsia="Times New Roman" w:cs="Times New Roman"/>
          <w:color w:val="000000"/>
        </w:rPr>
        <w:t>raśaiva-</w:t>
      </w:r>
      <w:r w:rsidR="00BA1800">
        <w:rPr>
          <w:rFonts w:eastAsia="Times New Roman" w:cs="Times New Roman"/>
          <w:color w:val="000000"/>
        </w:rPr>
        <w:t>Liṅgāyat</w:t>
      </w:r>
      <w:r w:rsidR="00000000">
        <w:rPr>
          <w:rFonts w:eastAsia="Times New Roman" w:cs="Times New Roman"/>
          <w:color w:val="000000"/>
        </w:rPr>
        <w:t>s</w:t>
      </w:r>
      <w:commentRangeStart w:id="51"/>
      <w:commentRangeEnd w:id="51"/>
      <w:proofErr w:type="spellEnd"/>
      <w:r w:rsidR="00000000">
        <w:rPr>
          <w:rFonts w:eastAsia="Times New Roman" w:cs="Times New Roman"/>
          <w:color w:val="000000"/>
        </w:rPr>
        <w:commentReference w:id="51"/>
      </w:r>
      <w:r w:rsidR="00E14FD7">
        <w:rPr>
          <w:rFonts w:eastAsia="Times New Roman" w:cs="Times New Roman"/>
          <w:color w:val="000000"/>
        </w:rPr>
        <w:t xml:space="preserve"> leaders</w:t>
      </w:r>
      <w:r w:rsidR="00000000">
        <w:rPr>
          <w:rFonts w:eastAsia="Times New Roman" w:cs="Times New Roman"/>
          <w:color w:val="000000"/>
        </w:rPr>
        <w:t xml:space="preserve">, </w:t>
      </w:r>
      <w:proofErr w:type="spellStart"/>
      <w:r w:rsidR="00000000">
        <w:rPr>
          <w:rFonts w:eastAsia="Times New Roman" w:cs="Times New Roman"/>
          <w:color w:val="000000"/>
        </w:rPr>
        <w:t>Firdullā</w:t>
      </w:r>
      <w:proofErr w:type="spellEnd"/>
      <w:r w:rsidR="00000000">
        <w:rPr>
          <w:rFonts w:eastAsia="Times New Roman" w:cs="Times New Roman"/>
          <w:color w:val="000000"/>
        </w:rPr>
        <w:t xml:space="preserve"> </w:t>
      </w:r>
      <w:proofErr w:type="spellStart"/>
      <w:r w:rsidR="00000000">
        <w:rPr>
          <w:rFonts w:eastAsia="Times New Roman" w:cs="Times New Roman"/>
          <w:color w:val="000000"/>
        </w:rPr>
        <w:t>Khān</w:t>
      </w:r>
      <w:proofErr w:type="spellEnd"/>
      <w:r w:rsidR="00000000">
        <w:rPr>
          <w:rFonts w:eastAsia="Times New Roman" w:cs="Times New Roman"/>
          <w:color w:val="000000"/>
        </w:rPr>
        <w:t xml:space="preserve"> cut down the rebel leaders with </w:t>
      </w:r>
      <w:r w:rsidR="00000000">
        <w:rPr>
          <w:rFonts w:eastAsia="Times New Roman" w:cs="Times New Roman"/>
          <w:color w:val="000000"/>
        </w:rPr>
        <w:lastRenderedPageBreak/>
        <w:t xml:space="preserve">a spray of arrows. While this effectively ended the revolt, the demands of the </w:t>
      </w:r>
      <w:r w:rsidR="00000000">
        <w:rPr>
          <w:rFonts w:eastAsia="Times New Roman" w:cs="Times New Roman"/>
          <w:i/>
          <w:iCs/>
          <w:color w:val="000000"/>
        </w:rPr>
        <w:t>jaṅgama</w:t>
      </w:r>
      <w:r w:rsidR="00000000" w:rsidRPr="00320622">
        <w:rPr>
          <w:rFonts w:eastAsia="Times New Roman" w:cs="Times New Roman"/>
          <w:color w:val="000000"/>
        </w:rPr>
        <w:t>s</w:t>
      </w:r>
      <w:r w:rsidR="00000000">
        <w:rPr>
          <w:rFonts w:eastAsia="Times New Roman" w:cs="Times New Roman"/>
          <w:i/>
          <w:iCs/>
          <w:color w:val="000000"/>
        </w:rPr>
        <w:t xml:space="preserve"> </w:t>
      </w:r>
      <w:r w:rsidR="00000000">
        <w:rPr>
          <w:rFonts w:eastAsia="Times New Roman" w:cs="Times New Roman"/>
          <w:color w:val="000000"/>
        </w:rPr>
        <w:t xml:space="preserve">incensed Cikkadēvarāja, and the king ordered his </w:t>
      </w:r>
      <w:proofErr w:type="spellStart"/>
      <w:r w:rsidR="00000000">
        <w:rPr>
          <w:rFonts w:eastAsia="Times New Roman" w:cs="Times New Roman"/>
          <w:i/>
          <w:iCs/>
          <w:color w:val="000000"/>
        </w:rPr>
        <w:t>gurikāra</w:t>
      </w:r>
      <w:proofErr w:type="spellEnd"/>
      <w:r w:rsidR="00000000">
        <w:rPr>
          <w:rFonts w:eastAsia="Times New Roman" w:cs="Times New Roman"/>
          <w:i/>
          <w:iCs/>
          <w:color w:val="000000"/>
        </w:rPr>
        <w:t xml:space="preserve"> </w:t>
      </w:r>
      <w:r w:rsidR="00000000">
        <w:rPr>
          <w:rFonts w:eastAsia="Times New Roman" w:cs="Times New Roman"/>
          <w:color w:val="000000"/>
        </w:rPr>
        <w:t xml:space="preserve">(headman) </w:t>
      </w:r>
      <w:proofErr w:type="spellStart"/>
      <w:r w:rsidR="00000000">
        <w:rPr>
          <w:rFonts w:eastAsia="Times New Roman" w:cs="Times New Roman"/>
          <w:color w:val="000000"/>
        </w:rPr>
        <w:t>Nanjē</w:t>
      </w:r>
      <w:proofErr w:type="spellEnd"/>
      <w:r w:rsidR="00000000">
        <w:rPr>
          <w:rFonts w:eastAsia="Times New Roman" w:cs="Times New Roman"/>
          <w:color w:val="000000"/>
        </w:rPr>
        <w:t xml:space="preserve"> </w:t>
      </w:r>
      <w:proofErr w:type="spellStart"/>
      <w:r w:rsidR="00000000">
        <w:rPr>
          <w:rFonts w:eastAsia="Times New Roman" w:cs="Times New Roman"/>
          <w:color w:val="000000"/>
        </w:rPr>
        <w:t>Gauḍa</w:t>
      </w:r>
      <w:proofErr w:type="spellEnd"/>
      <w:r w:rsidR="00000000">
        <w:rPr>
          <w:rFonts w:eastAsia="Times New Roman" w:cs="Times New Roman"/>
          <w:color w:val="000000"/>
        </w:rPr>
        <w:t xml:space="preserve"> to hunt down the remaining </w:t>
      </w:r>
      <w:proofErr w:type="spellStart"/>
      <w:r w:rsidR="00000000">
        <w:rPr>
          <w:rFonts w:eastAsia="Times New Roman" w:cs="Times New Roman"/>
          <w:i/>
          <w:iCs/>
          <w:color w:val="000000"/>
        </w:rPr>
        <w:t>jaṅgama</w:t>
      </w:r>
      <w:r w:rsidR="00000000" w:rsidRPr="00320622">
        <w:rPr>
          <w:rFonts w:eastAsia="Times New Roman" w:cs="Times New Roman"/>
          <w:color w:val="000000"/>
        </w:rPr>
        <w:t>s</w:t>
      </w:r>
      <w:proofErr w:type="spellEnd"/>
      <w:r w:rsidR="00000000" w:rsidRPr="00320622">
        <w:rPr>
          <w:rFonts w:eastAsia="Times New Roman" w:cs="Times New Roman"/>
          <w:color w:val="000000"/>
        </w:rPr>
        <w:t>,</w:t>
      </w:r>
      <w:r w:rsidR="00000000">
        <w:rPr>
          <w:rFonts w:eastAsia="Times New Roman" w:cs="Times New Roman"/>
          <w:i/>
          <w:iCs/>
          <w:color w:val="000000"/>
        </w:rPr>
        <w:t xml:space="preserve"> </w:t>
      </w:r>
      <w:r w:rsidR="00000000">
        <w:rPr>
          <w:rFonts w:eastAsia="Times New Roman" w:cs="Times New Roman"/>
          <w:color w:val="000000"/>
        </w:rPr>
        <w:t xml:space="preserve">destroy their </w:t>
      </w:r>
      <w:proofErr w:type="spellStart"/>
      <w:r w:rsidR="00000000">
        <w:rPr>
          <w:rFonts w:eastAsia="Times New Roman" w:cs="Times New Roman"/>
          <w:i/>
          <w:iCs/>
          <w:color w:val="000000"/>
        </w:rPr>
        <w:t>maṭha</w:t>
      </w:r>
      <w:r w:rsidR="00000000" w:rsidRPr="00320622">
        <w:rPr>
          <w:rFonts w:eastAsia="Times New Roman" w:cs="Times New Roman"/>
          <w:color w:val="000000"/>
        </w:rPr>
        <w:t>s</w:t>
      </w:r>
      <w:proofErr w:type="spellEnd"/>
      <w:r w:rsidR="00000000" w:rsidRPr="00676B3A">
        <w:rPr>
          <w:rFonts w:eastAsia="Times New Roman" w:cs="Times New Roman"/>
          <w:color w:val="000000"/>
        </w:rPr>
        <w:t>,</w:t>
      </w:r>
      <w:r w:rsidR="00000000">
        <w:rPr>
          <w:rFonts w:eastAsia="Times New Roman" w:cs="Times New Roman"/>
          <w:color w:val="000000"/>
        </w:rPr>
        <w:t xml:space="preserve"> and confiscate their rent-free lands. </w:t>
      </w:r>
      <w:proofErr w:type="spellStart"/>
      <w:r w:rsidR="00000000">
        <w:rPr>
          <w:rFonts w:eastAsia="Times New Roman" w:cs="Times New Roman"/>
          <w:color w:val="000000"/>
        </w:rPr>
        <w:t>Gauḍa</w:t>
      </w:r>
      <w:proofErr w:type="spellEnd"/>
      <w:r w:rsidR="00000000">
        <w:rPr>
          <w:rFonts w:eastAsia="Times New Roman" w:cs="Times New Roman"/>
          <w:color w:val="000000"/>
        </w:rPr>
        <w:t xml:space="preserve"> was efficient in his efforts, rounding up over 1,000 </w:t>
      </w:r>
      <w:r w:rsidR="00000000">
        <w:rPr>
          <w:rFonts w:eastAsia="Times New Roman" w:cs="Times New Roman"/>
          <w:i/>
          <w:iCs/>
          <w:color w:val="000000"/>
        </w:rPr>
        <w:t>jaṅgama</w:t>
      </w:r>
      <w:r w:rsidR="00000000" w:rsidRPr="00320622">
        <w:rPr>
          <w:rFonts w:eastAsia="Times New Roman" w:cs="Times New Roman"/>
          <w:color w:val="000000"/>
        </w:rPr>
        <w:t>s</w:t>
      </w:r>
      <w:r w:rsidR="00000000" w:rsidRPr="00CD00DB">
        <w:rPr>
          <w:rFonts w:eastAsia="Times New Roman" w:cs="Times New Roman"/>
          <w:color w:val="000000"/>
        </w:rPr>
        <w:t xml:space="preserve"> </w:t>
      </w:r>
      <w:r w:rsidR="00000000">
        <w:rPr>
          <w:rFonts w:eastAsia="Times New Roman" w:cs="Times New Roman"/>
          <w:color w:val="000000"/>
        </w:rPr>
        <w:t xml:space="preserve">who were promptly brought before the king and executed. As further punishment, the king ordered the region’s taxes to be raised yet again. For </w:t>
      </w:r>
      <w:proofErr w:type="spellStart"/>
      <w:r w:rsidR="00000000">
        <w:rPr>
          <w:rFonts w:eastAsia="Times New Roman" w:cs="Times New Roman"/>
          <w:color w:val="000000"/>
        </w:rPr>
        <w:t>Dēvacandra</w:t>
      </w:r>
      <w:proofErr w:type="spellEnd"/>
      <w:r w:rsidR="00000000">
        <w:rPr>
          <w:rFonts w:eastAsia="Times New Roman" w:cs="Times New Roman"/>
          <w:color w:val="000000"/>
        </w:rPr>
        <w:t xml:space="preserve">, however, the events do not end with the victory of the king, but with the assassination of the Jain prime minister </w:t>
      </w:r>
      <w:proofErr w:type="spellStart"/>
      <w:r w:rsidR="00000000">
        <w:rPr>
          <w:rFonts w:eastAsia="Times New Roman" w:cs="Times New Roman"/>
          <w:color w:val="000000"/>
        </w:rPr>
        <w:t>Viśālākṣa</w:t>
      </w:r>
      <w:proofErr w:type="spellEnd"/>
      <w:r w:rsidR="00000000">
        <w:rPr>
          <w:rFonts w:eastAsia="Times New Roman" w:cs="Times New Roman"/>
          <w:color w:val="000000"/>
        </w:rPr>
        <w:t xml:space="preserve">, whom the </w:t>
      </w:r>
      <w:proofErr w:type="spellStart"/>
      <w:r w:rsidR="00000000">
        <w:rPr>
          <w:rFonts w:eastAsia="Times New Roman" w:cs="Times New Roman"/>
          <w:color w:val="000000"/>
        </w:rPr>
        <w:t>V</w:t>
      </w:r>
      <w:r w:rsidR="00CD00DB">
        <w:rPr>
          <w:rFonts w:eastAsia="Times New Roman" w:cs="Times New Roman"/>
          <w:color w:val="000000"/>
        </w:rPr>
        <w:t>ī</w:t>
      </w:r>
      <w:r w:rsidR="00000000">
        <w:rPr>
          <w:rFonts w:eastAsia="Times New Roman" w:cs="Times New Roman"/>
          <w:color w:val="000000"/>
        </w:rPr>
        <w:t>raśaiva-</w:t>
      </w:r>
      <w:r w:rsidR="00BA1800">
        <w:rPr>
          <w:rFonts w:eastAsia="Times New Roman" w:cs="Times New Roman"/>
          <w:color w:val="000000"/>
        </w:rPr>
        <w:t>Liṅgāyat</w:t>
      </w:r>
      <w:proofErr w:type="spellEnd"/>
      <w:r w:rsidR="00000000">
        <w:rPr>
          <w:rFonts w:eastAsia="Times New Roman" w:cs="Times New Roman"/>
          <w:color w:val="000000"/>
        </w:rPr>
        <w:t xml:space="preserve"> community held responsible for the slaughter of their leaders and their exorbitant taxes. On his death bed, Viśālākṣa recommends the staunch </w:t>
      </w:r>
      <w:proofErr w:type="spellStart"/>
      <w:r w:rsidR="00000000">
        <w:rPr>
          <w:rFonts w:eastAsia="Times New Roman" w:cs="Times New Roman"/>
          <w:color w:val="000000"/>
        </w:rPr>
        <w:t>Śrī</w:t>
      </w:r>
      <w:proofErr w:type="spellEnd"/>
      <w:r w:rsidR="00000000">
        <w:rPr>
          <w:rFonts w:eastAsia="Times New Roman" w:cs="Times New Roman"/>
          <w:color w:val="000000"/>
        </w:rPr>
        <w:t xml:space="preserve"> </w:t>
      </w:r>
      <w:proofErr w:type="spellStart"/>
      <w:r w:rsidR="00000000">
        <w:rPr>
          <w:rFonts w:eastAsia="Times New Roman" w:cs="Times New Roman"/>
          <w:color w:val="000000"/>
        </w:rPr>
        <w:t>Vaiṣṇava</w:t>
      </w:r>
      <w:proofErr w:type="spellEnd"/>
      <w:r w:rsidR="00000000">
        <w:rPr>
          <w:rFonts w:eastAsia="Times New Roman" w:cs="Times New Roman"/>
          <w:color w:val="000000"/>
        </w:rPr>
        <w:t xml:space="preserve"> minister </w:t>
      </w:r>
      <w:proofErr w:type="spellStart"/>
      <w:r w:rsidR="00000000">
        <w:rPr>
          <w:sz w:val="23"/>
          <w:szCs w:val="23"/>
        </w:rPr>
        <w:t>Tirumalārya</w:t>
      </w:r>
      <w:proofErr w:type="spellEnd"/>
      <w:r w:rsidR="00000000">
        <w:rPr>
          <w:sz w:val="23"/>
          <w:szCs w:val="23"/>
        </w:rPr>
        <w:t xml:space="preserve">, who goes on to effectively consolidate religious authority within his own tradition. </w:t>
      </w:r>
    </w:p>
    <w:p w14:paraId="1DB02D32" w14:textId="704E6B8C" w:rsidR="00A63A65" w:rsidRDefault="00000000">
      <w:pPr>
        <w:spacing w:line="480" w:lineRule="auto"/>
        <w:ind w:firstLine="720"/>
        <w:rPr>
          <w:rFonts w:eastAsia="Times New Roman" w:cs="Times New Roman"/>
          <w:i/>
          <w:iCs/>
          <w:color w:val="000000"/>
        </w:rPr>
      </w:pPr>
      <w:r>
        <w:rPr>
          <w:rFonts w:eastAsia="Times New Roman" w:cs="Times New Roman"/>
          <w:color w:val="000000"/>
        </w:rPr>
        <w:t xml:space="preserve">According to Wilks’s rendering of the events, Cikkadēvarāja did not wait for the rebellion to organize. Instead, once the news that labor in the fields had ceased and revenues were no longer being collected arrived, Cikkadēvarāja “adopted a plan of perfidy and horror, yielding in infamy to nothing which we find recorded in the annals of the most sanguinary people” (Wilks 1868, 128). The king, then, invited the </w:t>
      </w:r>
      <w:proofErr w:type="spellStart"/>
      <w:r>
        <w:rPr>
          <w:rFonts w:eastAsia="Times New Roman" w:cs="Times New Roman"/>
          <w:color w:val="000000"/>
        </w:rPr>
        <w:t>Vīraśaiva-Līngāyata</w:t>
      </w:r>
      <w:proofErr w:type="spellEnd"/>
      <w:r>
        <w:rPr>
          <w:rFonts w:eastAsia="Times New Roman" w:cs="Times New Roman"/>
          <w:color w:val="000000"/>
        </w:rPr>
        <w:t xml:space="preserve"> priests and </w:t>
      </w:r>
      <w:proofErr w:type="spellStart"/>
      <w:r>
        <w:rPr>
          <w:rFonts w:eastAsia="Times New Roman" w:cs="Times New Roman"/>
          <w:i/>
          <w:iCs/>
          <w:color w:val="000000"/>
        </w:rPr>
        <w:t>maṭha</w:t>
      </w:r>
      <w:proofErr w:type="spellEnd"/>
      <w:r>
        <w:rPr>
          <w:rFonts w:eastAsia="Times New Roman" w:cs="Times New Roman"/>
          <w:color w:val="000000"/>
        </w:rPr>
        <w:t xml:space="preserve"> leaders to the </w:t>
      </w:r>
      <w:proofErr w:type="spellStart"/>
      <w:r>
        <w:rPr>
          <w:rFonts w:eastAsia="Calibri" w:cs="Times New Roman"/>
        </w:rPr>
        <w:t>Śrīkaṇṭhēśvara</w:t>
      </w:r>
      <w:proofErr w:type="spellEnd"/>
      <w:r>
        <w:rPr>
          <w:rFonts w:eastAsia="Times New Roman" w:cs="Times New Roman"/>
          <w:color w:val="000000"/>
        </w:rPr>
        <w:t xml:space="preserve"> (a.k.a. </w:t>
      </w:r>
      <w:proofErr w:type="spellStart"/>
      <w:r>
        <w:rPr>
          <w:rFonts w:eastAsia="Times New Roman" w:cs="Times New Roman"/>
          <w:color w:val="000000"/>
        </w:rPr>
        <w:t>Nañjuṇḍēśvarasvāmī</w:t>
      </w:r>
      <w:proofErr w:type="spellEnd"/>
      <w:r>
        <w:rPr>
          <w:rFonts w:eastAsia="Times New Roman" w:cs="Times New Roman"/>
          <w:color w:val="000000"/>
        </w:rPr>
        <w:t xml:space="preserve">) temple in </w:t>
      </w:r>
      <w:proofErr w:type="spellStart"/>
      <w:r>
        <w:rPr>
          <w:rFonts w:eastAsia="Times New Roman" w:cs="Times New Roman"/>
          <w:color w:val="000000"/>
        </w:rPr>
        <w:t>Nañjaṅgūḍu</w:t>
      </w:r>
      <w:proofErr w:type="spellEnd"/>
      <w:r>
        <w:rPr>
          <w:rFonts w:eastAsia="Times New Roman" w:cs="Times New Roman"/>
          <w:color w:val="000000"/>
        </w:rPr>
        <w:t xml:space="preserve"> under the pretense of brokering a peace treaty. Four hundred </w:t>
      </w:r>
      <w:proofErr w:type="spellStart"/>
      <w:r>
        <w:rPr>
          <w:rFonts w:eastAsia="Times New Roman" w:cs="Times New Roman"/>
          <w:i/>
          <w:iCs/>
          <w:color w:val="000000"/>
        </w:rPr>
        <w:t>jangama</w:t>
      </w:r>
      <w:r w:rsidRPr="00320622">
        <w:rPr>
          <w:rFonts w:eastAsia="Times New Roman" w:cs="Times New Roman"/>
          <w:color w:val="000000"/>
        </w:rPr>
        <w:t>s</w:t>
      </w:r>
      <w:proofErr w:type="spellEnd"/>
      <w:r w:rsidRPr="00320622">
        <w:rPr>
          <w:rFonts w:eastAsia="Times New Roman" w:cs="Times New Roman"/>
          <w:color w:val="000000"/>
        </w:rPr>
        <w:t xml:space="preserve"> </w:t>
      </w:r>
      <w:r>
        <w:rPr>
          <w:rFonts w:eastAsia="Times New Roman" w:cs="Times New Roman"/>
          <w:color w:val="000000"/>
        </w:rPr>
        <w:t>came for the meeting, and one by one they were led through a labyrinthian walled corridor. At its end they were received by the king to whom they would bow in obeisance. After this formal recognition of the king’s overlordship, the individual leader would be ushered into the next room. Instead of receiving gifts for their participation, which was the custom, they were met by an executioner who</w:t>
      </w:r>
      <w:r w:rsidR="00A54AFC">
        <w:rPr>
          <w:rFonts w:eastAsia="Times New Roman" w:cs="Times New Roman"/>
          <w:color w:val="000000"/>
        </w:rPr>
        <w:t xml:space="preserve"> </w:t>
      </w:r>
      <w:r>
        <w:rPr>
          <w:rFonts w:eastAsia="Times New Roman" w:cs="Times New Roman"/>
          <w:color w:val="000000"/>
        </w:rPr>
        <w:t xml:space="preserve">beheaded </w:t>
      </w:r>
      <w:r w:rsidR="00A54AFC">
        <w:rPr>
          <w:rFonts w:eastAsia="Times New Roman" w:cs="Times New Roman"/>
          <w:color w:val="000000"/>
        </w:rPr>
        <w:t xml:space="preserve">each </w:t>
      </w:r>
      <w:r>
        <w:rPr>
          <w:rFonts w:eastAsia="Times New Roman" w:cs="Times New Roman"/>
          <w:color w:val="000000"/>
        </w:rPr>
        <w:t xml:space="preserve">priest and threw the body into a mass grave. On </w:t>
      </w:r>
      <w:r>
        <w:rPr>
          <w:rFonts w:eastAsia="Times New Roman" w:cs="Times New Roman"/>
          <w:color w:val="000000"/>
        </w:rPr>
        <w:lastRenderedPageBreak/>
        <w:t xml:space="preserve">the very same day, orders were carried out for the destruction of seven hundred </w:t>
      </w:r>
      <w:proofErr w:type="spellStart"/>
      <w:r>
        <w:rPr>
          <w:rFonts w:eastAsia="Times New Roman" w:cs="Times New Roman"/>
          <w:color w:val="000000"/>
        </w:rPr>
        <w:t>V</w:t>
      </w:r>
      <w:r w:rsidR="00A54AFC">
        <w:rPr>
          <w:rFonts w:eastAsia="Times New Roman" w:cs="Times New Roman"/>
          <w:color w:val="000000"/>
        </w:rPr>
        <w:t>ī</w:t>
      </w:r>
      <w:r>
        <w:rPr>
          <w:rFonts w:eastAsia="Times New Roman" w:cs="Times New Roman"/>
          <w:color w:val="000000"/>
        </w:rPr>
        <w:t>raśaiva-</w:t>
      </w:r>
      <w:r w:rsidR="00BA1800">
        <w:rPr>
          <w:rFonts w:eastAsia="Times New Roman" w:cs="Times New Roman"/>
          <w:color w:val="000000"/>
        </w:rPr>
        <w:t>Liṅgāyat</w:t>
      </w:r>
      <w:proofErr w:type="spellEnd"/>
      <w:r>
        <w:rPr>
          <w:rFonts w:eastAsia="Times New Roman" w:cs="Times New Roman"/>
          <w:color w:val="000000"/>
        </w:rPr>
        <w:t xml:space="preserve"> </w:t>
      </w:r>
      <w:proofErr w:type="spellStart"/>
      <w:r>
        <w:rPr>
          <w:rFonts w:eastAsia="Times New Roman" w:cs="Times New Roman"/>
          <w:i/>
          <w:iCs/>
          <w:color w:val="000000"/>
        </w:rPr>
        <w:t>maṭha</w:t>
      </w:r>
      <w:r w:rsidRPr="00320622">
        <w:rPr>
          <w:rFonts w:eastAsia="Times New Roman" w:cs="Times New Roman"/>
          <w:color w:val="000000"/>
        </w:rPr>
        <w:t>s</w:t>
      </w:r>
      <w:proofErr w:type="spellEnd"/>
      <w:r w:rsidRPr="003D16A4">
        <w:rPr>
          <w:rFonts w:eastAsia="Times New Roman" w:cs="Times New Roman"/>
          <w:color w:val="000000"/>
        </w:rPr>
        <w:t xml:space="preserve"> </w:t>
      </w:r>
      <w:r>
        <w:rPr>
          <w:rFonts w:eastAsia="Times New Roman" w:cs="Times New Roman"/>
          <w:color w:val="000000"/>
        </w:rPr>
        <w:t xml:space="preserve">throughout the kingdom. In the subsequent days and weeks, the king’s men roamed the countryside assassinating anyone wearing an ochre robe and any followers that were with them. After eradicating the leadership, Cikkadēvarāja canceled </w:t>
      </w:r>
      <w:proofErr w:type="gramStart"/>
      <w:r>
        <w:rPr>
          <w:rFonts w:eastAsia="Times New Roman" w:cs="Times New Roman"/>
          <w:color w:val="000000"/>
        </w:rPr>
        <w:t>all of</w:t>
      </w:r>
      <w:proofErr w:type="gramEnd"/>
      <w:r>
        <w:rPr>
          <w:rFonts w:eastAsia="Times New Roman" w:cs="Times New Roman"/>
          <w:color w:val="000000"/>
        </w:rPr>
        <w:t xml:space="preserve"> the tax-free land grants given to the </w:t>
      </w:r>
      <w:proofErr w:type="spellStart"/>
      <w:r>
        <w:rPr>
          <w:rFonts w:eastAsia="Times New Roman" w:cs="Times New Roman"/>
          <w:color w:val="000000"/>
        </w:rPr>
        <w:t>V</w:t>
      </w:r>
      <w:r w:rsidR="003A4ECF">
        <w:rPr>
          <w:rFonts w:eastAsia="Times New Roman" w:cs="Times New Roman"/>
          <w:color w:val="000000"/>
        </w:rPr>
        <w:t>ī</w:t>
      </w:r>
      <w:r>
        <w:rPr>
          <w:rFonts w:eastAsia="Times New Roman" w:cs="Times New Roman"/>
          <w:color w:val="000000"/>
        </w:rPr>
        <w:t>raśaiva-</w:t>
      </w:r>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and continued with his tax </w:t>
      </w:r>
      <w:commentRangeStart w:id="52"/>
      <w:r>
        <w:rPr>
          <w:rFonts w:eastAsia="Times New Roman" w:cs="Times New Roman"/>
          <w:color w:val="000000"/>
        </w:rPr>
        <w:t>reforms</w:t>
      </w:r>
      <w:commentRangeEnd w:id="52"/>
      <w:r w:rsidR="00FF3A3E">
        <w:rPr>
          <w:rStyle w:val="CommentReference"/>
        </w:rPr>
        <w:commentReference w:id="52"/>
      </w:r>
      <w:r w:rsidR="00E14FD7">
        <w:rPr>
          <w:rFonts w:eastAsia="Times New Roman" w:cs="Times New Roman"/>
          <w:color w:val="000000"/>
        </w:rPr>
        <w:t xml:space="preserve"> </w:t>
      </w:r>
      <w:r w:rsidR="00E14FD7">
        <w:rPr>
          <w:rFonts w:eastAsia="Times New Roman" w:cs="Times New Roman"/>
          <w:color w:val="000000"/>
        </w:rPr>
        <w:t>(Wilks 1868, 128)</w:t>
      </w:r>
      <w:r>
        <w:rPr>
          <w:rFonts w:eastAsia="Times New Roman" w:cs="Times New Roman"/>
          <w:color w:val="000000"/>
        </w:rPr>
        <w:t xml:space="preserve">. </w:t>
      </w:r>
    </w:p>
    <w:p w14:paraId="0AC2A6AB" w14:textId="2F009676" w:rsidR="00A63A65" w:rsidRDefault="00000000">
      <w:pPr>
        <w:spacing w:line="480" w:lineRule="auto"/>
        <w:ind w:firstLine="720"/>
        <w:rPr>
          <w:rFonts w:eastAsia="Times New Roman" w:cs="Times New Roman"/>
          <w:color w:val="000000"/>
        </w:rPr>
      </w:pPr>
      <w:r>
        <w:rPr>
          <w:rFonts w:eastAsia="Times New Roman" w:cs="Times New Roman"/>
          <w:color w:val="000000"/>
        </w:rPr>
        <w:t>After the revolt was subdued, Wilks’s account continues</w:t>
      </w:r>
      <w:commentRangeStart w:id="53"/>
      <w:commentRangeEnd w:id="53"/>
      <w:r>
        <w:rPr>
          <w:rFonts w:eastAsia="Times New Roman" w:cs="Times New Roman"/>
          <w:color w:val="000000"/>
        </w:rPr>
        <w:commentReference w:id="53"/>
      </w:r>
      <w:r>
        <w:rPr>
          <w:rFonts w:eastAsia="Times New Roman" w:cs="Times New Roman"/>
          <w:color w:val="000000"/>
        </w:rPr>
        <w:t xml:space="preserve">, </w:t>
      </w:r>
      <w:proofErr w:type="spellStart"/>
      <w:r>
        <w:rPr>
          <w:rFonts w:eastAsia="Times New Roman" w:cs="Times New Roman"/>
          <w:color w:val="000000"/>
        </w:rPr>
        <w:t>Cikkadēvarāja</w:t>
      </w:r>
      <w:proofErr w:type="spellEnd"/>
      <w:r>
        <w:rPr>
          <w:rFonts w:eastAsia="Times New Roman" w:cs="Times New Roman"/>
          <w:color w:val="000000"/>
        </w:rPr>
        <w:t xml:space="preserve"> eliminated the </w:t>
      </w:r>
      <w:proofErr w:type="spellStart"/>
      <w:r>
        <w:rPr>
          <w:rFonts w:eastAsia="Times New Roman" w:cs="Times New Roman"/>
          <w:color w:val="000000"/>
        </w:rPr>
        <w:t>Vīraśaiva-</w:t>
      </w:r>
      <w:r w:rsidR="00BA1800">
        <w:rPr>
          <w:rFonts w:eastAsia="Times New Roman" w:cs="Times New Roman"/>
          <w:color w:val="000000"/>
        </w:rPr>
        <w:t>Liṅgāyat</w:t>
      </w:r>
      <w:r>
        <w:rPr>
          <w:rFonts w:eastAsia="Times New Roman" w:cs="Times New Roman"/>
          <w:color w:val="000000"/>
        </w:rPr>
        <w:t>s</w:t>
      </w:r>
      <w:proofErr w:type="spellEnd"/>
      <w:r>
        <w:rPr>
          <w:rFonts w:eastAsia="Times New Roman" w:cs="Times New Roman"/>
          <w:color w:val="000000"/>
        </w:rPr>
        <w:t xml:space="preserve"> from the </w:t>
      </w:r>
      <w:proofErr w:type="spellStart"/>
      <w:r>
        <w:rPr>
          <w:rFonts w:eastAsia="Times New Roman" w:cs="Times New Roman"/>
          <w:color w:val="000000"/>
        </w:rPr>
        <w:t>Woḍeyar</w:t>
      </w:r>
      <w:proofErr w:type="spellEnd"/>
      <w:r>
        <w:rPr>
          <w:rFonts w:eastAsia="Times New Roman" w:cs="Times New Roman"/>
          <w:color w:val="000000"/>
        </w:rPr>
        <w:t xml:space="preserve"> court and installed a new </w:t>
      </w:r>
      <w:proofErr w:type="spellStart"/>
      <w:r>
        <w:rPr>
          <w:rFonts w:eastAsia="Times New Roman" w:cs="Times New Roman"/>
          <w:color w:val="000000"/>
        </w:rPr>
        <w:t>Śrī</w:t>
      </w:r>
      <w:proofErr w:type="spellEnd"/>
      <w:r>
        <w:rPr>
          <w:rFonts w:eastAsia="Times New Roman" w:cs="Times New Roman"/>
          <w:color w:val="000000"/>
        </w:rPr>
        <w:t xml:space="preserve"> </w:t>
      </w:r>
      <w:proofErr w:type="spellStart"/>
      <w:r>
        <w:rPr>
          <w:rFonts w:eastAsia="Times New Roman" w:cs="Times New Roman"/>
          <w:color w:val="000000"/>
        </w:rPr>
        <w:t>Vaiṣṇava</w:t>
      </w:r>
      <w:proofErr w:type="spellEnd"/>
      <w:r>
        <w:rPr>
          <w:rFonts w:eastAsia="Times New Roman" w:cs="Times New Roman"/>
          <w:color w:val="000000"/>
        </w:rPr>
        <w:t xml:space="preserve"> prime minister, </w:t>
      </w:r>
      <w:commentRangeStart w:id="54"/>
      <w:proofErr w:type="spellStart"/>
      <w:r>
        <w:rPr>
          <w:rFonts w:eastAsia="Times New Roman" w:cs="Times New Roman"/>
          <w:color w:val="000000"/>
        </w:rPr>
        <w:t>Tirumalārya</w:t>
      </w:r>
      <w:commentRangeEnd w:id="54"/>
      <w:proofErr w:type="spellEnd"/>
      <w:r w:rsidR="00787978">
        <w:rPr>
          <w:rStyle w:val="CommentReference"/>
        </w:rPr>
        <w:commentReference w:id="54"/>
      </w:r>
      <w:r>
        <w:rPr>
          <w:rFonts w:eastAsia="Times New Roman" w:cs="Times New Roman"/>
          <w:color w:val="000000"/>
        </w:rPr>
        <w:t>. Though Vīraśaiva-Līngāyatas were not formally forbidden from his court, a royal decree issued by Cikkadēvarāja in 1693 forbade non</w:t>
      </w:r>
      <w:r w:rsidR="003A4ECF">
        <w:rPr>
          <w:rFonts w:eastAsia="Times New Roman" w:cs="Times New Roman"/>
          <w:color w:val="000000"/>
        </w:rPr>
        <w:t>–</w:t>
      </w:r>
      <w:proofErr w:type="spellStart"/>
      <w:r>
        <w:rPr>
          <w:rFonts w:eastAsia="Times New Roman" w:cs="Times New Roman"/>
          <w:color w:val="000000"/>
        </w:rPr>
        <w:t>Śr</w:t>
      </w:r>
      <w:r w:rsidR="003A4ECF">
        <w:rPr>
          <w:rFonts w:eastAsia="Times New Roman" w:cs="Times New Roman"/>
          <w:color w:val="000000"/>
        </w:rPr>
        <w:t>ī</w:t>
      </w:r>
      <w:proofErr w:type="spellEnd"/>
      <w:r>
        <w:rPr>
          <w:rFonts w:eastAsia="Times New Roman" w:cs="Times New Roman"/>
          <w:color w:val="000000"/>
        </w:rPr>
        <w:t xml:space="preserve"> </w:t>
      </w:r>
      <w:proofErr w:type="spellStart"/>
      <w:r>
        <w:rPr>
          <w:rFonts w:eastAsia="Times New Roman" w:cs="Times New Roman"/>
          <w:color w:val="000000"/>
        </w:rPr>
        <w:t>Vaiṣṇava</w:t>
      </w:r>
      <w:proofErr w:type="spellEnd"/>
      <w:r>
        <w:rPr>
          <w:rFonts w:eastAsia="Times New Roman" w:cs="Times New Roman"/>
          <w:color w:val="000000"/>
        </w:rPr>
        <w:t xml:space="preserve"> sectarian marks in the Mysore court, effectively ostracizing anyone who wore the </w:t>
      </w:r>
      <w:proofErr w:type="spellStart"/>
      <w:r w:rsidR="00BA1800">
        <w:rPr>
          <w:rFonts w:eastAsia="Times New Roman" w:cs="Times New Roman"/>
          <w:color w:val="000000"/>
        </w:rPr>
        <w:t>Liṅgāyat</w:t>
      </w:r>
      <w:proofErr w:type="spellEnd"/>
      <w:r>
        <w:rPr>
          <w:rFonts w:eastAsia="Times New Roman" w:cs="Times New Roman"/>
          <w:color w:val="000000"/>
        </w:rPr>
        <w:t xml:space="preserve"> </w:t>
      </w:r>
      <w:proofErr w:type="spellStart"/>
      <w:r>
        <w:rPr>
          <w:rFonts w:eastAsia="Times New Roman" w:cs="Times New Roman"/>
          <w:i/>
          <w:iCs/>
          <w:color w:val="000000"/>
        </w:rPr>
        <w:t>liṅga</w:t>
      </w:r>
      <w:proofErr w:type="spellEnd"/>
      <w:r>
        <w:rPr>
          <w:rFonts w:eastAsia="Times New Roman" w:cs="Times New Roman"/>
          <w:color w:val="000000"/>
        </w:rPr>
        <w:t xml:space="preserve"> </w:t>
      </w:r>
      <w:commentRangeStart w:id="55"/>
      <w:r>
        <w:rPr>
          <w:rFonts w:eastAsia="Times New Roman" w:cs="Times New Roman"/>
          <w:color w:val="000000"/>
        </w:rPr>
        <w:t xml:space="preserve">(Rao 1948, 365). </w:t>
      </w:r>
      <w:commentRangeEnd w:id="55"/>
      <w:r w:rsidR="003431E6">
        <w:rPr>
          <w:rStyle w:val="CommentReference"/>
        </w:rPr>
        <w:commentReference w:id="55"/>
      </w:r>
      <w:r>
        <w:rPr>
          <w:rFonts w:eastAsia="Times New Roman" w:cs="Times New Roman"/>
          <w:color w:val="000000"/>
        </w:rPr>
        <w:t xml:space="preserve">Instead, the primary criterion for full participation in the court was affiliation with the </w:t>
      </w:r>
      <w:proofErr w:type="spellStart"/>
      <w:r>
        <w:rPr>
          <w:rFonts w:eastAsia="Times New Roman" w:cs="Times New Roman"/>
          <w:color w:val="000000"/>
        </w:rPr>
        <w:t>Śrī</w:t>
      </w:r>
      <w:proofErr w:type="spellEnd"/>
      <w:r>
        <w:rPr>
          <w:rFonts w:eastAsia="Times New Roman" w:cs="Times New Roman"/>
          <w:color w:val="000000"/>
        </w:rPr>
        <w:t xml:space="preserve"> </w:t>
      </w:r>
      <w:proofErr w:type="spellStart"/>
      <w:r>
        <w:rPr>
          <w:rFonts w:eastAsia="Times New Roman" w:cs="Times New Roman"/>
          <w:color w:val="000000"/>
        </w:rPr>
        <w:t>Vaiṣṇava</w:t>
      </w:r>
      <w:proofErr w:type="spellEnd"/>
      <w:r>
        <w:rPr>
          <w:rFonts w:eastAsia="Times New Roman" w:cs="Times New Roman"/>
          <w:color w:val="000000"/>
        </w:rPr>
        <w:t xml:space="preserve"> tradition, which was signified by initiation through the five rites (</w:t>
      </w:r>
      <w:proofErr w:type="spellStart"/>
      <w:r>
        <w:rPr>
          <w:rFonts w:eastAsia="Times New Roman" w:cs="Times New Roman"/>
          <w:i/>
          <w:iCs/>
          <w:color w:val="000000"/>
        </w:rPr>
        <w:t>pañca-saṃskāra</w:t>
      </w:r>
      <w:proofErr w:type="spellEnd"/>
      <w:r>
        <w:rPr>
          <w:rFonts w:eastAsia="Times New Roman" w:cs="Times New Roman"/>
          <w:color w:val="000000"/>
        </w:rPr>
        <w:t xml:space="preserve">) </w:t>
      </w:r>
      <w:r>
        <w:rPr>
          <w:rFonts w:eastAsia="Times New Roman" w:cs="Times New Roman"/>
          <w:i/>
          <w:iCs/>
          <w:color w:val="000000"/>
        </w:rPr>
        <w:t xml:space="preserve">and </w:t>
      </w:r>
      <w:r>
        <w:rPr>
          <w:rFonts w:eastAsia="Times New Roman" w:cs="Times New Roman"/>
          <w:color w:val="000000"/>
        </w:rPr>
        <w:t xml:space="preserve">the correct continued performance of </w:t>
      </w:r>
      <w:proofErr w:type="spellStart"/>
      <w:r>
        <w:rPr>
          <w:rFonts w:eastAsia="Times New Roman" w:cs="Times New Roman"/>
          <w:color w:val="000000"/>
        </w:rPr>
        <w:t>Śrī</w:t>
      </w:r>
      <w:proofErr w:type="spellEnd"/>
      <w:r>
        <w:rPr>
          <w:rFonts w:eastAsia="Times New Roman" w:cs="Times New Roman"/>
          <w:color w:val="000000"/>
        </w:rPr>
        <w:t xml:space="preserve"> </w:t>
      </w:r>
      <w:proofErr w:type="spellStart"/>
      <w:r>
        <w:rPr>
          <w:rFonts w:eastAsia="Times New Roman" w:cs="Times New Roman"/>
          <w:color w:val="000000"/>
        </w:rPr>
        <w:t>Vaiṣṇava</w:t>
      </w:r>
      <w:proofErr w:type="spellEnd"/>
      <w:r>
        <w:rPr>
          <w:rFonts w:eastAsia="Times New Roman" w:cs="Times New Roman"/>
          <w:color w:val="000000"/>
        </w:rPr>
        <w:t xml:space="preserve"> </w:t>
      </w:r>
      <w:commentRangeStart w:id="56"/>
      <w:r>
        <w:rPr>
          <w:rFonts w:eastAsia="Times New Roman" w:cs="Times New Roman"/>
          <w:color w:val="000000"/>
        </w:rPr>
        <w:t>rituals</w:t>
      </w:r>
      <w:commentRangeEnd w:id="56"/>
      <w:r w:rsidR="007B7897">
        <w:rPr>
          <w:rStyle w:val="CommentReference"/>
        </w:rPr>
        <w:commentReference w:id="56"/>
      </w:r>
      <w:r w:rsidR="00E14FD7">
        <w:rPr>
          <w:rFonts w:eastAsia="Times New Roman" w:cs="Times New Roman"/>
          <w:color w:val="000000"/>
        </w:rPr>
        <w:t xml:space="preserve"> </w:t>
      </w:r>
      <w:r w:rsidR="00E14FD7">
        <w:rPr>
          <w:rFonts w:eastAsia="Times New Roman" w:cs="Times New Roman"/>
          <w:color w:val="000000"/>
        </w:rPr>
        <w:t>(Rao 1948, 365</w:t>
      </w:r>
      <w:r w:rsidR="00E14FD7">
        <w:rPr>
          <w:rFonts w:eastAsia="Times New Roman" w:cs="Times New Roman"/>
          <w:color w:val="000000"/>
        </w:rPr>
        <w:t>)</w:t>
      </w:r>
      <w:r>
        <w:rPr>
          <w:rFonts w:eastAsia="Times New Roman" w:cs="Times New Roman"/>
          <w:color w:val="000000"/>
        </w:rPr>
        <w:t xml:space="preserve">. </w:t>
      </w:r>
    </w:p>
    <w:p w14:paraId="688096E1" w14:textId="429B756B" w:rsidR="00A63A65" w:rsidRDefault="00000000">
      <w:pPr>
        <w:spacing w:line="480" w:lineRule="auto"/>
        <w:ind w:firstLine="720"/>
        <w:rPr>
          <w:rFonts w:eastAsia="Times New Roman" w:cs="Times New Roman"/>
        </w:rPr>
      </w:pPr>
      <w:r>
        <w:rPr>
          <w:rFonts w:eastAsia="Times New Roman" w:cs="Times New Roman"/>
        </w:rPr>
        <w:t xml:space="preserve">For both Wilks and </w:t>
      </w:r>
      <w:proofErr w:type="spellStart"/>
      <w:r>
        <w:rPr>
          <w:rFonts w:eastAsia="Times New Roman" w:cs="Times New Roman"/>
          <w:color w:val="000000"/>
        </w:rPr>
        <w:t>Dēvacandra</w:t>
      </w:r>
      <w:proofErr w:type="spellEnd"/>
      <w:r>
        <w:rPr>
          <w:rFonts w:eastAsia="Times New Roman" w:cs="Times New Roman"/>
        </w:rPr>
        <w:t xml:space="preserve">, </w:t>
      </w:r>
      <w:proofErr w:type="spellStart"/>
      <w:r>
        <w:rPr>
          <w:rFonts w:eastAsia="Times New Roman" w:cs="Times New Roman"/>
        </w:rPr>
        <w:t>Vīraśaiva-</w:t>
      </w:r>
      <w:r w:rsidR="00BA1800">
        <w:rPr>
          <w:rFonts w:eastAsia="Times New Roman" w:cs="Times New Roman"/>
        </w:rPr>
        <w:t>Liṅgāyat</w:t>
      </w:r>
      <w:r>
        <w:rPr>
          <w:rFonts w:eastAsia="Times New Roman" w:cs="Times New Roman"/>
        </w:rPr>
        <w:t>s</w:t>
      </w:r>
      <w:proofErr w:type="spellEnd"/>
      <w:r>
        <w:rPr>
          <w:rFonts w:eastAsia="Times New Roman" w:cs="Times New Roman"/>
        </w:rPr>
        <w:t xml:space="preserve"> were systematically excluded from participation in the court, not </w:t>
      </w:r>
      <w:proofErr w:type="gramStart"/>
      <w:r>
        <w:rPr>
          <w:rFonts w:eastAsia="Times New Roman" w:cs="Times New Roman"/>
        </w:rPr>
        <w:t>as a result of</w:t>
      </w:r>
      <w:proofErr w:type="gramEnd"/>
      <w:r>
        <w:rPr>
          <w:rFonts w:eastAsia="Times New Roman" w:cs="Times New Roman"/>
        </w:rPr>
        <w:t xml:space="preserve"> their beliefs or practices, but as a consequence of their role in the rebellion. </w:t>
      </w:r>
      <w:r w:rsidR="00436624">
        <w:rPr>
          <w:rFonts w:eastAsia="Times New Roman" w:cs="Times New Roman"/>
        </w:rPr>
        <w:t xml:space="preserve">According to these sources, </w:t>
      </w:r>
      <w:r w:rsidR="00185B58">
        <w:rPr>
          <w:rFonts w:eastAsia="Times New Roman" w:cs="Times New Roman"/>
        </w:rPr>
        <w:t>after</w:t>
      </w:r>
      <w:r>
        <w:rPr>
          <w:rFonts w:eastAsia="Times New Roman" w:cs="Times New Roman"/>
        </w:rPr>
        <w:t xml:space="preserve"> 1686</w:t>
      </w:r>
      <w:r w:rsidR="00185B58">
        <w:rPr>
          <w:rFonts w:eastAsia="Times New Roman" w:cs="Times New Roman"/>
        </w:rPr>
        <w:t>,</w:t>
      </w:r>
      <w:r>
        <w:rPr>
          <w:rFonts w:eastAsia="Times New Roman" w:cs="Times New Roman"/>
        </w:rPr>
        <w:t xml:space="preserve"> </w:t>
      </w:r>
      <w:proofErr w:type="spellStart"/>
      <w:r>
        <w:rPr>
          <w:rFonts w:eastAsia="Times New Roman" w:cs="Times New Roman"/>
        </w:rPr>
        <w:t>Vīraśaiva-</w:t>
      </w:r>
      <w:r w:rsidR="00BA1800">
        <w:rPr>
          <w:rFonts w:eastAsia="Times New Roman" w:cs="Times New Roman"/>
        </w:rPr>
        <w:t>Liṅgāyat</w:t>
      </w:r>
      <w:proofErr w:type="spellEnd"/>
      <w:r>
        <w:rPr>
          <w:rFonts w:eastAsia="Times New Roman" w:cs="Times New Roman"/>
        </w:rPr>
        <w:t xml:space="preserve"> ritual and practice had no place in the Woḍeyar religious worldview; they were effectively outsiders. </w:t>
      </w:r>
      <w:r w:rsidR="00185B58">
        <w:rPr>
          <w:rFonts w:eastAsia="Times New Roman" w:cs="Times New Roman"/>
        </w:rPr>
        <w:t>Whenever we consider the context during which these new details for the rebellions emerged, there is</w:t>
      </w:r>
      <w:r>
        <w:rPr>
          <w:rFonts w:eastAsia="Times New Roman" w:cs="Times New Roman"/>
        </w:rPr>
        <w:t xml:space="preserve"> an additional layer of complexity to understanding the role </w:t>
      </w:r>
      <w:proofErr w:type="spellStart"/>
      <w:r>
        <w:rPr>
          <w:rFonts w:eastAsia="Times New Roman" w:cs="Times New Roman"/>
        </w:rPr>
        <w:t>Vīraśaiva-</w:t>
      </w:r>
      <w:r w:rsidR="00BA1800">
        <w:rPr>
          <w:rFonts w:eastAsia="Times New Roman" w:cs="Times New Roman"/>
        </w:rPr>
        <w:t>Liṅgāyat</w:t>
      </w:r>
      <w:proofErr w:type="spellEnd"/>
      <w:r>
        <w:rPr>
          <w:rFonts w:eastAsia="Times New Roman" w:cs="Times New Roman"/>
        </w:rPr>
        <w:t xml:space="preserve"> identity in the politics of southern Karnataka. Published in 1810 (Wilks) and 1838 (Dēvacandra), both accounts of the Revolt of 1686 appeared during the reign of </w:t>
      </w:r>
      <w:r>
        <w:lastRenderedPageBreak/>
        <w:t>Kṛṣṇarāja Woḍeyar III, and on either side of the rebellion of 1830</w:t>
      </w:r>
      <w:r w:rsidR="009431F9">
        <w:t>–</w:t>
      </w:r>
      <w:r w:rsidR="006F3E79">
        <w:t>18</w:t>
      </w:r>
      <w:r>
        <w:t xml:space="preserve">31, </w:t>
      </w:r>
      <w:proofErr w:type="gramStart"/>
      <w:r>
        <w:t>as a result of</w:t>
      </w:r>
      <w:proofErr w:type="gramEnd"/>
      <w:r>
        <w:t xml:space="preserve"> which he would eventually lose his power. </w:t>
      </w:r>
      <w:r w:rsidR="00185B58">
        <w:t>As with the colonial-era details of the Revolt of 1686, historians claim that the</w:t>
      </w:r>
      <w:r>
        <w:t xml:space="preserve"> </w:t>
      </w:r>
      <w:proofErr w:type="spellStart"/>
      <w:r>
        <w:rPr>
          <w:rFonts w:eastAsia="Times New Roman" w:cs="Times New Roman"/>
        </w:rPr>
        <w:t>Vīraśaiva-</w:t>
      </w:r>
      <w:r w:rsidR="00BA1800">
        <w:rPr>
          <w:rFonts w:eastAsia="Times New Roman" w:cs="Times New Roman"/>
        </w:rPr>
        <w:t>Liṅgāyat</w:t>
      </w:r>
      <w:proofErr w:type="spellEnd"/>
      <w:r>
        <w:rPr>
          <w:rFonts w:eastAsia="Times New Roman" w:cs="Times New Roman"/>
        </w:rPr>
        <w:t xml:space="preserve"> </w:t>
      </w:r>
      <w:r w:rsidR="00185B58">
        <w:rPr>
          <w:rFonts w:eastAsia="Times New Roman" w:cs="Times New Roman"/>
        </w:rPr>
        <w:t xml:space="preserve">community were catalysts for the insurgency. Through this context, we can better understand the role of </w:t>
      </w:r>
      <w:proofErr w:type="spellStart"/>
      <w:r w:rsidR="00185B58">
        <w:rPr>
          <w:rFonts w:eastAsia="Times New Roman" w:cs="Times New Roman"/>
        </w:rPr>
        <w:t>Vīraśaiva-Liṅgāyat</w:t>
      </w:r>
      <w:proofErr w:type="spellEnd"/>
      <w:r w:rsidR="00185B58">
        <w:rPr>
          <w:rFonts w:eastAsia="Times New Roman" w:cs="Times New Roman"/>
        </w:rPr>
        <w:t xml:space="preserve"> </w:t>
      </w:r>
      <w:r>
        <w:rPr>
          <w:rFonts w:eastAsia="Times New Roman" w:cs="Times New Roman"/>
        </w:rPr>
        <w:t xml:space="preserve">identity as a political concern in Mysore in the early </w:t>
      </w:r>
      <w:r w:rsidR="0026115A">
        <w:rPr>
          <w:rFonts w:eastAsia="Times New Roman" w:cs="Times New Roman"/>
        </w:rPr>
        <w:t>nineteenth</w:t>
      </w:r>
      <w:r>
        <w:rPr>
          <w:rFonts w:eastAsia="Times New Roman" w:cs="Times New Roman"/>
        </w:rPr>
        <w:t xml:space="preserve"> century</w:t>
      </w:r>
      <w:r w:rsidR="00185B58">
        <w:rPr>
          <w:rFonts w:eastAsia="Times New Roman" w:cs="Times New Roman"/>
        </w:rPr>
        <w:t xml:space="preserve"> and how this might have </w:t>
      </w:r>
      <w:r w:rsidR="009F3379">
        <w:rPr>
          <w:rFonts w:eastAsia="Times New Roman" w:cs="Times New Roman"/>
        </w:rPr>
        <w:t>shaped the colonial-era histories of the seventeenth-century revo</w:t>
      </w:r>
      <w:r w:rsidR="00FF1604">
        <w:rPr>
          <w:rFonts w:eastAsia="Times New Roman" w:cs="Times New Roman"/>
        </w:rPr>
        <w:t>l</w:t>
      </w:r>
      <w:r w:rsidR="009F3379">
        <w:rPr>
          <w:rFonts w:eastAsia="Times New Roman" w:cs="Times New Roman"/>
        </w:rPr>
        <w:t>t</w:t>
      </w:r>
      <w:r>
        <w:rPr>
          <w:rFonts w:eastAsia="Times New Roman" w:cs="Times New Roman"/>
        </w:rPr>
        <w:t>.</w:t>
      </w:r>
      <w:commentRangeStart w:id="57"/>
      <w:commentRangeEnd w:id="57"/>
      <w:r>
        <w:rPr>
          <w:rFonts w:eastAsia="Times New Roman" w:cs="Times New Roman"/>
        </w:rPr>
        <w:commentReference w:id="57"/>
      </w:r>
    </w:p>
    <w:p w14:paraId="28292EC0" w14:textId="77777777" w:rsidR="00A63A65" w:rsidRDefault="00A63A65">
      <w:pPr>
        <w:spacing w:line="480" w:lineRule="auto"/>
        <w:rPr>
          <w:rFonts w:eastAsia="Times New Roman" w:cs="Times New Roman"/>
        </w:rPr>
      </w:pPr>
    </w:p>
    <w:p w14:paraId="4EF33CA3" w14:textId="60F451F3" w:rsidR="00A63A65" w:rsidRDefault="00000000">
      <w:pPr>
        <w:spacing w:line="480" w:lineRule="auto"/>
        <w:rPr>
          <w:rFonts w:eastAsia="Times New Roman" w:cs="Times New Roman"/>
          <w:b/>
          <w:bCs/>
          <w:i/>
          <w:iCs/>
        </w:rPr>
      </w:pPr>
      <w:r>
        <w:rPr>
          <w:rFonts w:eastAsia="Times New Roman" w:cs="Times New Roman"/>
          <w:b/>
          <w:bCs/>
          <w:i/>
          <w:iCs/>
        </w:rPr>
        <w:t>The Rebellion of 1830</w:t>
      </w:r>
      <w:r w:rsidR="006F3E79">
        <w:rPr>
          <w:rFonts w:eastAsia="Times New Roman" w:cs="Times New Roman"/>
          <w:b/>
          <w:bCs/>
          <w:i/>
          <w:iCs/>
        </w:rPr>
        <w:t>–18</w:t>
      </w:r>
      <w:r>
        <w:rPr>
          <w:rFonts w:eastAsia="Times New Roman" w:cs="Times New Roman"/>
          <w:b/>
          <w:bCs/>
          <w:i/>
          <w:iCs/>
        </w:rPr>
        <w:t>31</w:t>
      </w:r>
    </w:p>
    <w:p w14:paraId="646A1E97" w14:textId="07489BFB" w:rsidR="00A63A65" w:rsidRDefault="00000000">
      <w:pPr>
        <w:spacing w:line="480" w:lineRule="auto"/>
        <w:ind w:firstLine="720"/>
        <w:contextualSpacing/>
        <w:rPr>
          <w:rFonts w:eastAsia="Times New Roman" w:cs="Times New Roman"/>
          <w:color w:val="000000"/>
        </w:rPr>
      </w:pPr>
      <w:r>
        <w:t>We now turn to the rebellion that was just mentioned, namely, the Nagara Rebellion of 1830</w:t>
      </w:r>
      <w:r w:rsidR="00AE589F">
        <w:t>–18</w:t>
      </w:r>
      <w:r>
        <w:t xml:space="preserve">31 </w:t>
      </w:r>
      <w:proofErr w:type="spellStart"/>
      <w:r>
        <w:rPr>
          <w:rFonts w:eastAsia="Times New Roman" w:cs="Times New Roman"/>
          <w:smallCaps/>
          <w:color w:val="000000"/>
        </w:rPr>
        <w:t>ce</w:t>
      </w:r>
      <w:proofErr w:type="spellEnd"/>
      <w:r>
        <w:t>, or the “Peasant Insurgency,” as Burton Stein has called it. This rebellion took place in the Mysore kingdom during the reign of Kṛṣṇarāja Woḍeyar III (r. 1799</w:t>
      </w:r>
      <w:r w:rsidR="00AE589F">
        <w:t>–</w:t>
      </w:r>
      <w:r>
        <w:t xml:space="preserve">1868 </w:t>
      </w:r>
      <w:proofErr w:type="spellStart"/>
      <w:r>
        <w:rPr>
          <w:rFonts w:eastAsia="Times New Roman" w:cs="Times New Roman"/>
          <w:smallCaps/>
          <w:color w:val="000000"/>
        </w:rPr>
        <w:t>ce</w:t>
      </w:r>
      <w:proofErr w:type="spellEnd"/>
      <w:r>
        <w:rPr>
          <w:rFonts w:eastAsia="Times New Roman" w:cs="Times New Roman"/>
          <w:smallCaps/>
          <w:color w:val="000000"/>
        </w:rPr>
        <w:t xml:space="preserve">) </w:t>
      </w:r>
      <w:r>
        <w:t xml:space="preserve">and was one of the reasons adduced by the British East India Company to strip the king of his administrative sovereignty. </w:t>
      </w:r>
      <w:r>
        <w:rPr>
          <w:rFonts w:eastAsia="Times New Roman" w:cs="Times New Roman"/>
          <w:color w:val="000000"/>
        </w:rPr>
        <w:t xml:space="preserve">Similar to the rebellion during Cikkadēvarāja’s reign, the Nagara </w:t>
      </w:r>
      <w:r w:rsidR="006E0333">
        <w:rPr>
          <w:rFonts w:eastAsia="Times New Roman" w:cs="Times New Roman"/>
          <w:color w:val="000000"/>
        </w:rPr>
        <w:t>R</w:t>
      </w:r>
      <w:r>
        <w:rPr>
          <w:rFonts w:eastAsia="Times New Roman" w:cs="Times New Roman"/>
          <w:color w:val="000000"/>
        </w:rPr>
        <w:t xml:space="preserve">ebellion arose in reaction to land-tax reforms, and </w:t>
      </w:r>
      <w:r w:rsidR="00FF1604">
        <w:rPr>
          <w:rFonts w:eastAsia="Times New Roman" w:cs="Times New Roman"/>
          <w:color w:val="000000"/>
        </w:rPr>
        <w:t xml:space="preserve">the Mysore court held </w:t>
      </w:r>
      <w:proofErr w:type="gramStart"/>
      <w:r w:rsidR="00FF1604">
        <w:rPr>
          <w:rFonts w:eastAsia="Times New Roman" w:cs="Times New Roman"/>
          <w:color w:val="000000"/>
        </w:rPr>
        <w:t xml:space="preserve">the </w:t>
      </w:r>
      <w:r>
        <w:rPr>
          <w:rFonts w:eastAsia="Times New Roman" w:cs="Times New Roman"/>
          <w:color w:val="000000"/>
        </w:rPr>
        <w:t>he</w:t>
      </w:r>
      <w:proofErr w:type="gramEnd"/>
      <w:r>
        <w:rPr>
          <w:rFonts w:eastAsia="Times New Roman" w:cs="Times New Roman"/>
          <w:color w:val="000000"/>
        </w:rPr>
        <w:t xml:space="preserve"> </w:t>
      </w:r>
      <w:proofErr w:type="spellStart"/>
      <w:r>
        <w:rPr>
          <w:rFonts w:eastAsia="Times New Roman" w:cs="Times New Roman"/>
          <w:color w:val="000000"/>
        </w:rPr>
        <w:t>Vīraśaiva-</w:t>
      </w:r>
      <w:r w:rsidR="00BA1800">
        <w:rPr>
          <w:rFonts w:eastAsia="Times New Roman" w:cs="Times New Roman"/>
          <w:color w:val="000000"/>
        </w:rPr>
        <w:t>Liṅgāyat</w:t>
      </w:r>
      <w:proofErr w:type="spellEnd"/>
      <w:r>
        <w:rPr>
          <w:rFonts w:eastAsia="Times New Roman" w:cs="Times New Roman"/>
          <w:color w:val="000000"/>
        </w:rPr>
        <w:t xml:space="preserve"> community</w:t>
      </w:r>
      <w:r w:rsidR="00FF1604">
        <w:rPr>
          <w:rFonts w:eastAsia="Times New Roman" w:cs="Times New Roman"/>
          <w:color w:val="000000"/>
        </w:rPr>
        <w:t xml:space="preserve"> responsible</w:t>
      </w:r>
      <w:r>
        <w:rPr>
          <w:rFonts w:eastAsia="Times New Roman" w:cs="Times New Roman"/>
          <w:color w:val="000000"/>
        </w:rPr>
        <w:t xml:space="preserve">. Though </w:t>
      </w:r>
      <w:r w:rsidR="00FF1604">
        <w:rPr>
          <w:rFonts w:eastAsia="Times New Roman" w:cs="Times New Roman"/>
          <w:color w:val="000000"/>
        </w:rPr>
        <w:t>the rebellions</w:t>
      </w:r>
      <w:r w:rsidR="00FF1604">
        <w:rPr>
          <w:rFonts w:eastAsia="Times New Roman" w:cs="Times New Roman"/>
          <w:color w:val="000000"/>
        </w:rPr>
        <w:t xml:space="preserve"> </w:t>
      </w:r>
      <w:proofErr w:type="gramStart"/>
      <w:r>
        <w:rPr>
          <w:rFonts w:eastAsia="Times New Roman" w:cs="Times New Roman"/>
          <w:color w:val="000000"/>
        </w:rPr>
        <w:t>was</w:t>
      </w:r>
      <w:proofErr w:type="gramEnd"/>
      <w:r>
        <w:rPr>
          <w:rFonts w:eastAsia="Times New Roman" w:cs="Times New Roman"/>
          <w:color w:val="000000"/>
        </w:rPr>
        <w:t xml:space="preserve"> quickly subdued, the </w:t>
      </w:r>
      <w:proofErr w:type="spellStart"/>
      <w:r w:rsidR="00FF1604">
        <w:rPr>
          <w:rFonts w:eastAsia="Times New Roman" w:cs="Times New Roman"/>
          <w:color w:val="000000"/>
        </w:rPr>
        <w:t>t</w:t>
      </w:r>
      <w:r>
        <w:rPr>
          <w:rFonts w:eastAsia="Times New Roman" w:cs="Times New Roman"/>
          <w:color w:val="000000"/>
        </w:rPr>
        <w:t>he</w:t>
      </w:r>
      <w:proofErr w:type="spellEnd"/>
      <w:r>
        <w:rPr>
          <w:rFonts w:eastAsia="Times New Roman" w:cs="Times New Roman"/>
          <w:color w:val="000000"/>
        </w:rPr>
        <w:t xml:space="preserve"> </w:t>
      </w:r>
      <w:r w:rsidR="00437D3D">
        <w:rPr>
          <w:rFonts w:eastAsia="Times New Roman" w:cs="Times New Roman"/>
          <w:color w:val="000000"/>
        </w:rPr>
        <w:t>r</w:t>
      </w:r>
      <w:r>
        <w:rPr>
          <w:rFonts w:eastAsia="Times New Roman" w:cs="Times New Roman"/>
          <w:color w:val="000000"/>
        </w:rPr>
        <w:t>ebellion of 1830</w:t>
      </w:r>
      <w:r w:rsidR="00437D3D">
        <w:rPr>
          <w:rFonts w:eastAsia="Times New Roman" w:cs="Times New Roman"/>
          <w:color w:val="000000"/>
        </w:rPr>
        <w:t>–18</w:t>
      </w:r>
      <w:r>
        <w:rPr>
          <w:rFonts w:eastAsia="Times New Roman" w:cs="Times New Roman"/>
          <w:color w:val="000000"/>
        </w:rPr>
        <w:t xml:space="preserve">31 led to the weakening of Mysore kingship and the </w:t>
      </w:r>
      <w:r w:rsidR="00FF1604">
        <w:rPr>
          <w:rFonts w:eastAsia="Times New Roman" w:cs="Times New Roman"/>
          <w:color w:val="000000"/>
        </w:rPr>
        <w:t>strengthening</w:t>
      </w:r>
      <w:r w:rsidR="00FF1604">
        <w:rPr>
          <w:rFonts w:eastAsia="Times New Roman" w:cs="Times New Roman"/>
          <w:color w:val="000000"/>
        </w:rPr>
        <w:t xml:space="preserve"> </w:t>
      </w:r>
      <w:r>
        <w:rPr>
          <w:rFonts w:eastAsia="Times New Roman" w:cs="Times New Roman"/>
          <w:color w:val="000000"/>
        </w:rPr>
        <w:t xml:space="preserve">of </w:t>
      </w:r>
      <w:proofErr w:type="spellStart"/>
      <w:r>
        <w:rPr>
          <w:rFonts w:eastAsia="Times New Roman" w:cs="Times New Roman"/>
          <w:color w:val="000000"/>
        </w:rPr>
        <w:t>Vīraśaiva-Liṅgāyatism</w:t>
      </w:r>
      <w:proofErr w:type="spellEnd"/>
      <w:r>
        <w:rPr>
          <w:rFonts w:eastAsia="Times New Roman" w:cs="Times New Roman"/>
          <w:color w:val="000000"/>
        </w:rPr>
        <w:t xml:space="preserve"> into the center of Mysore royal practice. </w:t>
      </w:r>
    </w:p>
    <w:p w14:paraId="56247DD7" w14:textId="41DC723C" w:rsidR="00A63A65" w:rsidRDefault="00000000">
      <w:pPr>
        <w:spacing w:line="480" w:lineRule="auto"/>
        <w:ind w:firstLine="720"/>
        <w:contextualSpacing/>
      </w:pPr>
      <w:r>
        <w:t xml:space="preserve">Like the Revolt of 1686, the Nagara </w:t>
      </w:r>
      <w:r w:rsidR="00785330">
        <w:t>R</w:t>
      </w:r>
      <w:r>
        <w:t xml:space="preserve">ebellion started in the northeastern portion of the kingdom in the </w:t>
      </w:r>
      <w:proofErr w:type="spellStart"/>
      <w:r>
        <w:t>Śimōga</w:t>
      </w:r>
      <w:proofErr w:type="spellEnd"/>
      <w:r>
        <w:t xml:space="preserve"> district (</w:t>
      </w:r>
      <w:proofErr w:type="spellStart"/>
      <w:r>
        <w:rPr>
          <w:i/>
          <w:iCs/>
        </w:rPr>
        <w:t>tālūk</w:t>
      </w:r>
      <w:proofErr w:type="spellEnd"/>
      <w:r>
        <w:t>)</w:t>
      </w:r>
      <w:r>
        <w:rPr>
          <w:i/>
          <w:iCs/>
        </w:rPr>
        <w:t xml:space="preserve"> </w:t>
      </w:r>
      <w:r>
        <w:t>of the Nagara governorship (</w:t>
      </w:r>
      <w:proofErr w:type="spellStart"/>
      <w:r>
        <w:rPr>
          <w:i/>
          <w:iCs/>
        </w:rPr>
        <w:t>fauzdāri</w:t>
      </w:r>
      <w:proofErr w:type="spellEnd"/>
      <w:r>
        <w:t xml:space="preserve">). The chieftains of this area claimed descent from the </w:t>
      </w:r>
      <w:proofErr w:type="spellStart"/>
      <w:r>
        <w:t>Vīraśaiva-</w:t>
      </w:r>
      <w:r w:rsidR="00BA1800">
        <w:t>Liṅgāyat</w:t>
      </w:r>
      <w:proofErr w:type="spellEnd"/>
      <w:r>
        <w:t xml:space="preserve"> </w:t>
      </w:r>
      <w:proofErr w:type="spellStart"/>
      <w:r>
        <w:t>Keḷadi</w:t>
      </w:r>
      <w:proofErr w:type="spellEnd"/>
      <w:r>
        <w:t xml:space="preserve"> </w:t>
      </w:r>
      <w:proofErr w:type="spellStart"/>
      <w:r>
        <w:t>Ikkēri</w:t>
      </w:r>
      <w:proofErr w:type="spellEnd"/>
      <w:r>
        <w:t xml:space="preserve"> kings and contested Kṛṣṇarāja III’s rule during the early years of his reign (he was</w:t>
      </w:r>
      <w:r>
        <w:rPr>
          <w:rFonts w:eastAsia="Times New Roman" w:cs="Times New Roman"/>
          <w:color w:val="000000"/>
        </w:rPr>
        <w:t xml:space="preserve"> installed by the British at four years old after the defeat of </w:t>
      </w:r>
      <w:proofErr w:type="spellStart"/>
      <w:r>
        <w:rPr>
          <w:rFonts w:eastAsia="Times New Roman" w:cs="Times New Roman"/>
          <w:color w:val="000000"/>
        </w:rPr>
        <w:t>Ṭipū</w:t>
      </w:r>
      <w:proofErr w:type="spellEnd"/>
      <w:r>
        <w:rPr>
          <w:rFonts w:eastAsia="Times New Roman" w:cs="Times New Roman"/>
          <w:color w:val="000000"/>
        </w:rPr>
        <w:t xml:space="preserve"> </w:t>
      </w:r>
      <w:proofErr w:type="spellStart"/>
      <w:r>
        <w:rPr>
          <w:rFonts w:eastAsia="Times New Roman" w:cs="Times New Roman"/>
          <w:color w:val="000000"/>
        </w:rPr>
        <w:t>Sultān</w:t>
      </w:r>
      <w:proofErr w:type="spellEnd"/>
      <w:r>
        <w:rPr>
          <w:rFonts w:eastAsia="Times New Roman" w:cs="Times New Roman"/>
          <w:color w:val="000000"/>
        </w:rPr>
        <w:t xml:space="preserve"> in 1799). </w:t>
      </w:r>
      <w:r>
        <w:t xml:space="preserve">However, the British forces quickly quelled this descent </w:t>
      </w:r>
      <w:proofErr w:type="gramStart"/>
      <w:r>
        <w:t>in order to</w:t>
      </w:r>
      <w:proofErr w:type="gramEnd"/>
      <w:r>
        <w:t xml:space="preserve"> solidify Kṛṣṇarāja III’s shaky claims to the throne.</w:t>
      </w:r>
      <w:r>
        <w:rPr>
          <w:rStyle w:val="EndnoteReference"/>
        </w:rPr>
        <w:endnoteReference w:id="1"/>
      </w:r>
      <w:r>
        <w:t xml:space="preserve"> </w:t>
      </w:r>
      <w:r>
        <w:lastRenderedPageBreak/>
        <w:t xml:space="preserve">The hesitation of the Nagara chieftains to support the newly “restored” king earned them steeper taxes under the cash tax system instituted during the famous administrator </w:t>
      </w:r>
      <w:proofErr w:type="spellStart"/>
      <w:r>
        <w:t>Pūrṇayya’s</w:t>
      </w:r>
      <w:proofErr w:type="spellEnd"/>
      <w:r>
        <w:t xml:space="preserve"> time as </w:t>
      </w:r>
      <w:proofErr w:type="spellStart"/>
      <w:r>
        <w:t>Kṛṣṇarāja’s</w:t>
      </w:r>
      <w:proofErr w:type="spellEnd"/>
      <w:r>
        <w:t xml:space="preserve"> </w:t>
      </w:r>
      <w:r>
        <w:rPr>
          <w:i/>
          <w:iCs/>
        </w:rPr>
        <w:t xml:space="preserve">divan </w:t>
      </w:r>
      <w:r>
        <w:t>(Stein 1985, 15</w:t>
      </w:r>
      <w:r w:rsidR="00CF219F">
        <w:t>–</w:t>
      </w:r>
      <w:r>
        <w:t xml:space="preserve">16). The tension subsided for a while, but the chieftains of this peripheral zone soon challenged the authority of the </w:t>
      </w:r>
      <w:proofErr w:type="spellStart"/>
      <w:r>
        <w:t>Woḍeyar</w:t>
      </w:r>
      <w:proofErr w:type="spellEnd"/>
      <w:r>
        <w:t xml:space="preserve"> king once again. </w:t>
      </w:r>
      <w:proofErr w:type="spellStart"/>
      <w:r>
        <w:t>Buḍi</w:t>
      </w:r>
      <w:proofErr w:type="spellEnd"/>
      <w:r>
        <w:t xml:space="preserve"> </w:t>
      </w:r>
      <w:proofErr w:type="spellStart"/>
      <w:r>
        <w:t>Basappa</w:t>
      </w:r>
      <w:proofErr w:type="spellEnd"/>
      <w:r>
        <w:t xml:space="preserve">, a wealthy chieftain of Nagara, </w:t>
      </w:r>
      <w:commentRangeStart w:id="58"/>
      <w:r>
        <w:t xml:space="preserve">proclaimed </w:t>
      </w:r>
      <w:commentRangeEnd w:id="58"/>
      <w:r w:rsidR="002B0E62">
        <w:rPr>
          <w:rStyle w:val="CommentReference"/>
        </w:rPr>
        <w:commentReference w:id="58"/>
      </w:r>
      <w:r w:rsidR="00FF1604">
        <w:t xml:space="preserve">himself </w:t>
      </w:r>
      <w:r>
        <w:t>to be the king (</w:t>
      </w:r>
      <w:proofErr w:type="spellStart"/>
      <w:r>
        <w:rPr>
          <w:i/>
          <w:iCs/>
        </w:rPr>
        <w:t>rājā</w:t>
      </w:r>
      <w:proofErr w:type="spellEnd"/>
      <w:r>
        <w:t>)</w:t>
      </w:r>
      <w:r>
        <w:rPr>
          <w:i/>
          <w:iCs/>
        </w:rPr>
        <w:t xml:space="preserve"> </w:t>
      </w:r>
      <w:r>
        <w:t>of Nagara, descend</w:t>
      </w:r>
      <w:r w:rsidR="00A31097">
        <w:t>a</w:t>
      </w:r>
      <w:r>
        <w:t xml:space="preserve">nt of the </w:t>
      </w:r>
      <w:proofErr w:type="spellStart"/>
      <w:r>
        <w:t>Keḷadi-Ikkēri</w:t>
      </w:r>
      <w:proofErr w:type="spellEnd"/>
      <w:r>
        <w:t xml:space="preserve"> kings. The new “king” immediately called upon agriculturalists of the region to stop paying taxes to Mysore and join his cause to revoke the king’s claim to sovereignty in the territory. The rebellion spread to other regions of the Mysore kingdom as agriculturalists from the </w:t>
      </w:r>
      <w:proofErr w:type="spellStart"/>
      <w:r>
        <w:rPr>
          <w:i/>
          <w:iCs/>
        </w:rPr>
        <w:t>fauzdāris</w:t>
      </w:r>
      <w:proofErr w:type="spellEnd"/>
      <w:r>
        <w:t xml:space="preserve"> of </w:t>
      </w:r>
      <w:proofErr w:type="spellStart"/>
      <w:r>
        <w:t>Madhugiri</w:t>
      </w:r>
      <w:proofErr w:type="spellEnd"/>
      <w:r>
        <w:t xml:space="preserve">, </w:t>
      </w:r>
      <w:proofErr w:type="spellStart"/>
      <w:r>
        <w:t>Aṣṭagrāma</w:t>
      </w:r>
      <w:proofErr w:type="spellEnd"/>
      <w:r>
        <w:t xml:space="preserve">, and Bangalore ceased paying taxes and joined in violent revolt. </w:t>
      </w:r>
    </w:p>
    <w:p w14:paraId="50FC8C07" w14:textId="3A268191" w:rsidR="00A63A65" w:rsidRDefault="00000000">
      <w:pPr>
        <w:spacing w:line="480" w:lineRule="auto"/>
        <w:ind w:firstLine="720"/>
        <w:contextualSpacing/>
      </w:pPr>
      <w:r>
        <w:t>While most subsequent scholarship (Gopal 1960; Stein 1985; Gopal &amp; Prasad 2010), has followed the British colonial</w:t>
      </w:r>
      <w:r w:rsidR="00FF1604">
        <w:t>-era</w:t>
      </w:r>
      <w:r>
        <w:t xml:space="preserve"> account in presenting the rebellion as essentially a tax revolt</w:t>
      </w:r>
      <w:r w:rsidR="00935356">
        <w:t>,</w:t>
      </w:r>
      <w:r>
        <w:t xml:space="preserve"> the role of </w:t>
      </w:r>
      <w:proofErr w:type="spellStart"/>
      <w:r>
        <w:rPr>
          <w:rFonts w:eastAsia="Times New Roman" w:cs="Times New Roman"/>
          <w:color w:val="000000"/>
        </w:rPr>
        <w:t>Vīraśaiva-Liṅgāyatism</w:t>
      </w:r>
      <w:proofErr w:type="spellEnd"/>
      <w:r>
        <w:rPr>
          <w:rFonts w:eastAsia="Times New Roman" w:cs="Times New Roman"/>
          <w:color w:val="000000"/>
        </w:rPr>
        <w:t xml:space="preserve"> </w:t>
      </w:r>
      <w:r>
        <w:t>in the spread of the 1830</w:t>
      </w:r>
      <w:r w:rsidR="00935356">
        <w:t>–18</w:t>
      </w:r>
      <w:r>
        <w:t xml:space="preserve">31 rebellion </w:t>
      </w:r>
      <w:r w:rsidR="00FF1604">
        <w:t>should not</w:t>
      </w:r>
      <w:r w:rsidR="00FF1604">
        <w:t xml:space="preserve"> </w:t>
      </w:r>
      <w:commentRangeStart w:id="59"/>
      <w:commentRangeEnd w:id="59"/>
      <w:r w:rsidR="006E017B">
        <w:rPr>
          <w:rStyle w:val="CommentReference"/>
        </w:rPr>
        <w:commentReference w:id="59"/>
      </w:r>
      <w:r>
        <w:t xml:space="preserve">be understated, especially in </w:t>
      </w:r>
      <w:commentRangeStart w:id="60"/>
      <w:r>
        <w:t xml:space="preserve">its </w:t>
      </w:r>
      <w:commentRangeEnd w:id="60"/>
      <w:r w:rsidR="00A20C43">
        <w:rPr>
          <w:rStyle w:val="CommentReference"/>
        </w:rPr>
        <w:commentReference w:id="60"/>
      </w:r>
      <w:r>
        <w:t xml:space="preserve">claims of sovereign authority by the new king of Nagara, </w:t>
      </w:r>
      <w:proofErr w:type="spellStart"/>
      <w:r>
        <w:t>Buḍi</w:t>
      </w:r>
      <w:proofErr w:type="spellEnd"/>
      <w:r>
        <w:t xml:space="preserve"> </w:t>
      </w:r>
      <w:commentRangeStart w:id="61"/>
      <w:proofErr w:type="spellStart"/>
      <w:r>
        <w:t>Basavappa</w:t>
      </w:r>
      <w:commentRangeEnd w:id="61"/>
      <w:proofErr w:type="spellEnd"/>
      <w:r w:rsidR="00A07628">
        <w:rPr>
          <w:rStyle w:val="CommentReference"/>
        </w:rPr>
        <w:commentReference w:id="61"/>
      </w:r>
      <w:r>
        <w:t xml:space="preserve">. Before he was </w:t>
      </w:r>
      <w:proofErr w:type="spellStart"/>
      <w:r>
        <w:t>Buḍi</w:t>
      </w:r>
      <w:proofErr w:type="spellEnd"/>
      <w:r>
        <w:t xml:space="preserve"> </w:t>
      </w:r>
      <w:proofErr w:type="spellStart"/>
      <w:r>
        <w:t>Basava</w:t>
      </w:r>
      <w:r w:rsidR="00FF1604">
        <w:t>ppa</w:t>
      </w:r>
      <w:proofErr w:type="spellEnd"/>
      <w:r>
        <w:t xml:space="preserve">, the new king was a petty criminal named </w:t>
      </w:r>
      <w:commentRangeStart w:id="62"/>
      <w:proofErr w:type="spellStart"/>
      <w:r>
        <w:t>Śārad</w:t>
      </w:r>
      <w:r w:rsidR="00FF1604">
        <w:rPr>
          <w:lang w:bidi="kn-IN"/>
        </w:rPr>
        <w:t>ā</w:t>
      </w:r>
      <w:r>
        <w:t>malla</w:t>
      </w:r>
      <w:commentRangeEnd w:id="62"/>
      <w:proofErr w:type="spellEnd"/>
      <w:r>
        <w:commentReference w:id="62"/>
      </w:r>
      <w:r>
        <w:t xml:space="preserve"> (lit.</w:t>
      </w:r>
      <w:r w:rsidR="00A07628">
        <w:t>,</w:t>
      </w:r>
      <w:r>
        <w:t xml:space="preserve"> “Saraswati’s hero”). </w:t>
      </w:r>
      <w:proofErr w:type="spellStart"/>
      <w:r w:rsidR="00FF1604">
        <w:t>Śāradāmalla</w:t>
      </w:r>
      <w:proofErr w:type="spellEnd"/>
      <w:r w:rsidR="00FF1604">
        <w:t xml:space="preserve"> </w:t>
      </w:r>
      <w:r>
        <w:t xml:space="preserve">met a </w:t>
      </w:r>
      <w:proofErr w:type="spellStart"/>
      <w:r>
        <w:t>Vīraśaiva-</w:t>
      </w:r>
      <w:r w:rsidR="00BA1800">
        <w:t>Liṅgāyat</w:t>
      </w:r>
      <w:proofErr w:type="spellEnd"/>
      <w:r>
        <w:t xml:space="preserve"> </w:t>
      </w:r>
      <w:proofErr w:type="spellStart"/>
      <w:r>
        <w:rPr>
          <w:i/>
          <w:iCs/>
        </w:rPr>
        <w:t>jaṅgama</w:t>
      </w:r>
      <w:proofErr w:type="spellEnd"/>
      <w:r>
        <w:t xml:space="preserve"> who claimed to be the former </w:t>
      </w:r>
      <w:proofErr w:type="spellStart"/>
      <w:r>
        <w:rPr>
          <w:i/>
          <w:iCs/>
        </w:rPr>
        <w:t>purōhita</w:t>
      </w:r>
      <w:proofErr w:type="spellEnd"/>
      <w:r>
        <w:t xml:space="preserve"> of the final </w:t>
      </w:r>
      <w:proofErr w:type="spellStart"/>
      <w:r>
        <w:t>Keḷadi</w:t>
      </w:r>
      <w:proofErr w:type="spellEnd"/>
      <w:r>
        <w:t xml:space="preserve"> </w:t>
      </w:r>
      <w:proofErr w:type="spellStart"/>
      <w:r>
        <w:t>Nāyaka</w:t>
      </w:r>
      <w:proofErr w:type="spellEnd"/>
      <w:r>
        <w:t xml:space="preserve"> </w:t>
      </w:r>
      <w:proofErr w:type="spellStart"/>
      <w:r>
        <w:t>Channabas</w:t>
      </w:r>
      <w:proofErr w:type="spellEnd"/>
      <w:r>
        <w:t>(av)</w:t>
      </w:r>
      <w:proofErr w:type="spellStart"/>
      <w:r>
        <w:t>appa</w:t>
      </w:r>
      <w:proofErr w:type="spellEnd"/>
      <w:r>
        <w:t xml:space="preserve"> (r. 1754</w:t>
      </w:r>
      <w:r w:rsidR="00A07628">
        <w:t>–</w:t>
      </w:r>
      <w:r>
        <w:t xml:space="preserve">1757), who ruled prior to Nagara’s fall to </w:t>
      </w:r>
      <w:proofErr w:type="spellStart"/>
      <w:r>
        <w:t>Ṭipū</w:t>
      </w:r>
      <w:proofErr w:type="spellEnd"/>
      <w:r>
        <w:t xml:space="preserve"> </w:t>
      </w:r>
      <w:proofErr w:type="spellStart"/>
      <w:r>
        <w:t>Sultān’s</w:t>
      </w:r>
      <w:proofErr w:type="spellEnd"/>
      <w:r>
        <w:t xml:space="preserve"> father Haidar Ali and the Keḷadi kingdom’s incorporation as </w:t>
      </w:r>
      <w:commentRangeStart w:id="63"/>
      <w:r>
        <w:t>territory of Mysore</w:t>
      </w:r>
      <w:commentRangeEnd w:id="63"/>
      <w:r w:rsidR="00214F99">
        <w:rPr>
          <w:rStyle w:val="CommentReference"/>
        </w:rPr>
        <w:commentReference w:id="63"/>
      </w:r>
      <w:r>
        <w:t xml:space="preserve">. The former </w:t>
      </w:r>
      <w:proofErr w:type="spellStart"/>
      <w:r>
        <w:t>Keḷadi</w:t>
      </w:r>
      <w:proofErr w:type="spellEnd"/>
      <w:r>
        <w:t xml:space="preserve"> </w:t>
      </w:r>
      <w:proofErr w:type="spellStart"/>
      <w:r>
        <w:rPr>
          <w:i/>
          <w:iCs/>
        </w:rPr>
        <w:t>purōhita</w:t>
      </w:r>
      <w:proofErr w:type="spellEnd"/>
      <w:r>
        <w:t xml:space="preserve"> had in his possession the insignia of the erstwhile royal family and vested the authority of the </w:t>
      </w:r>
      <w:proofErr w:type="spellStart"/>
      <w:r>
        <w:t>Keḷadi</w:t>
      </w:r>
      <w:proofErr w:type="spellEnd"/>
      <w:r>
        <w:t xml:space="preserve"> kingdom on </w:t>
      </w:r>
      <w:proofErr w:type="spellStart"/>
      <w:r>
        <w:t>Śār</w:t>
      </w:r>
      <w:r w:rsidR="00FF1604">
        <w:t>ā</w:t>
      </w:r>
      <w:r>
        <w:t>damalla</w:t>
      </w:r>
      <w:proofErr w:type="spellEnd"/>
      <w:r>
        <w:t xml:space="preserve"> by bestowing him with the royal insignia and claiming that he was </w:t>
      </w:r>
      <w:proofErr w:type="gramStart"/>
      <w:r>
        <w:t>actually the</w:t>
      </w:r>
      <w:proofErr w:type="gramEnd"/>
      <w:r>
        <w:t xml:space="preserve"> son of the final ruler of the Keḷadi kingdom in Nagara. Endowed with the outward signs of royalty and the genealogy of the </w:t>
      </w:r>
      <w:proofErr w:type="spellStart"/>
      <w:r>
        <w:t>Keḷadi</w:t>
      </w:r>
      <w:proofErr w:type="spellEnd"/>
      <w:r>
        <w:t xml:space="preserve"> rulers, </w:t>
      </w:r>
      <w:proofErr w:type="spellStart"/>
      <w:r>
        <w:lastRenderedPageBreak/>
        <w:t>Śārad</w:t>
      </w:r>
      <w:r w:rsidR="00B8715D">
        <w:t>ā</w:t>
      </w:r>
      <w:r>
        <w:t>malla</w:t>
      </w:r>
      <w:proofErr w:type="spellEnd"/>
      <w:r>
        <w:t xml:space="preserve"> adopted the name </w:t>
      </w:r>
      <w:proofErr w:type="spellStart"/>
      <w:r>
        <w:t>Buḍi</w:t>
      </w:r>
      <w:proofErr w:type="spellEnd"/>
      <w:r>
        <w:t xml:space="preserve"> </w:t>
      </w:r>
      <w:proofErr w:type="spellStart"/>
      <w:r>
        <w:t>Basavappa</w:t>
      </w:r>
      <w:proofErr w:type="spellEnd"/>
      <w:r>
        <w:t xml:space="preserve"> (lit. “</w:t>
      </w:r>
      <w:proofErr w:type="spellStart"/>
      <w:r>
        <w:t>Basavappa’s</w:t>
      </w:r>
      <w:proofErr w:type="spellEnd"/>
      <w:r>
        <w:t xml:space="preserve"> Descendant”) and began raising an army. </w:t>
      </w:r>
    </w:p>
    <w:p w14:paraId="0394CA1B" w14:textId="7ED6B95C" w:rsidR="00A63A65" w:rsidRDefault="00000000">
      <w:pPr>
        <w:spacing w:line="480" w:lineRule="auto"/>
        <w:ind w:firstLine="720"/>
        <w:contextualSpacing/>
      </w:pPr>
      <w:r>
        <w:t xml:space="preserve">The </w:t>
      </w:r>
      <w:proofErr w:type="spellStart"/>
      <w:r>
        <w:t>Vīraśaiva-</w:t>
      </w:r>
      <w:r w:rsidR="00BA1800">
        <w:t>Liṅgāyat</w:t>
      </w:r>
      <w:proofErr w:type="spellEnd"/>
      <w:r>
        <w:t xml:space="preserve"> elites</w:t>
      </w:r>
      <w:commentRangeStart w:id="64"/>
      <w:r>
        <w:t xml:space="preserve"> </w:t>
      </w:r>
      <w:commentRangeEnd w:id="64"/>
      <w:r w:rsidR="005473DF">
        <w:rPr>
          <w:rStyle w:val="CommentReference"/>
        </w:rPr>
        <w:commentReference w:id="64"/>
      </w:r>
      <w:r>
        <w:t>served as the mouthpieces of the rebellion, who read the dissenters’ propaganda to the “peasants</w:t>
      </w:r>
      <w:r w:rsidR="00B8715D">
        <w:t xml:space="preserve">” </w:t>
      </w:r>
      <w:r w:rsidR="00B8715D">
        <w:t>(</w:t>
      </w:r>
      <w:r w:rsidR="00B8715D">
        <w:t xml:space="preserve">Stein </w:t>
      </w:r>
      <w:r w:rsidR="00B8715D">
        <w:t>1985, 15)</w:t>
      </w:r>
      <w:r w:rsidR="00B8715D">
        <w:t xml:space="preserve">. </w:t>
      </w:r>
      <w:r>
        <w:t xml:space="preserve">The </w:t>
      </w:r>
      <w:proofErr w:type="spellStart"/>
      <w:r>
        <w:rPr>
          <w:rFonts w:eastAsia="Times New Roman" w:cs="Times New Roman"/>
          <w:color w:val="000000"/>
        </w:rPr>
        <w:t>Vīraśaiva-</w:t>
      </w:r>
      <w:r w:rsidR="00BA1800">
        <w:rPr>
          <w:rFonts w:eastAsia="Times New Roman" w:cs="Times New Roman"/>
          <w:color w:val="000000"/>
        </w:rPr>
        <w:t>Liṅgāyat</w:t>
      </w:r>
      <w:proofErr w:type="spellEnd"/>
      <w:r>
        <w:rPr>
          <w:rFonts w:eastAsia="Times New Roman" w:cs="Times New Roman"/>
          <w:color w:val="000000"/>
        </w:rPr>
        <w:t xml:space="preserve"> </w:t>
      </w:r>
      <w:r>
        <w:t>population</w:t>
      </w:r>
      <w:r w:rsidR="00B8715D">
        <w:t>—30% of the region—</w:t>
      </w:r>
      <w:r>
        <w:t xml:space="preserve">was quickly mobilized by the networks of </w:t>
      </w:r>
      <w:proofErr w:type="spellStart"/>
      <w:r>
        <w:rPr>
          <w:i/>
          <w:iCs/>
        </w:rPr>
        <w:t>jaṅgama</w:t>
      </w:r>
      <w:r w:rsidRPr="00320622">
        <w:t>s</w:t>
      </w:r>
      <w:proofErr w:type="spellEnd"/>
      <w:r w:rsidRPr="006939F3">
        <w:t xml:space="preserve"> </w:t>
      </w:r>
      <w:r>
        <w:t>and their call to action. Hesitant members of the community were further prodded to join the revolt through</w:t>
      </w:r>
      <w:r>
        <w:rPr>
          <w:i/>
          <w:iCs/>
        </w:rPr>
        <w:t xml:space="preserve"> </w:t>
      </w:r>
      <w:r>
        <w:t xml:space="preserve">threats of excommunication from the sect via pronouncement of pollution or, even worse, having “horns and bones of animals thrown into their houses” if they did not fall in line with the insurgency (Stein 1985, 18). </w:t>
      </w:r>
    </w:p>
    <w:p w14:paraId="7E1A0DF3" w14:textId="73A8CC27" w:rsidR="00A63A65" w:rsidRDefault="00000000">
      <w:pPr>
        <w:spacing w:line="480" w:lineRule="auto"/>
        <w:ind w:firstLine="720"/>
        <w:contextualSpacing/>
        <w:rPr>
          <w:rFonts w:eastAsia="Times New Roman" w:cs="Times New Roman"/>
          <w:color w:val="000000"/>
        </w:rPr>
      </w:pPr>
      <w:r>
        <w:t xml:space="preserve">By the beginning of 1831, the Mysore administrators and their forces had been effectively ousted from Nagara, causing the British East India Company troops to step in and take the region back for the Mysore kingdom. In the wake of the rebellion and </w:t>
      </w:r>
      <w:commentRangeStart w:id="65"/>
      <w:r>
        <w:t>a lengthy study of its causes</w:t>
      </w:r>
      <w:commentRangeEnd w:id="65"/>
      <w:r w:rsidR="00967831">
        <w:rPr>
          <w:rStyle w:val="CommentReference"/>
        </w:rPr>
        <w:commentReference w:id="65"/>
      </w:r>
      <w:r>
        <w:t>, British administrators decided that rebellion was a result of Kṛṣṇarāja III’s mismanagement of finances and his appointment of administrators ill-suited to perform their duties for the benefit of the state</w:t>
      </w:r>
      <w:r w:rsidR="0074169F">
        <w:t xml:space="preserve"> (Hawker, et al 1833)</w:t>
      </w:r>
      <w:r>
        <w:t xml:space="preserve">. Therefore, Kṛṣṇarāja III’s direct rule of the Mysore kingdom ended, and the administration of the kingdom was bequeathed to a series of British Commissioners. </w:t>
      </w:r>
      <w:r>
        <w:rPr>
          <w:rFonts w:eastAsia="Times New Roman" w:cs="Times New Roman"/>
          <w:color w:val="000000"/>
        </w:rPr>
        <w:t xml:space="preserve">In the deliberations that led to this decision, British correspondence makes the case that Kṛṣṇarāja III had no dynastic sovereign claims over the region of Nagara, which had formerly been part of the kingdom of Keḷadi. It had been incorporated into the kingdom of Mysore through the rights of conquest during the period of the usurpers Haidar Ali and </w:t>
      </w:r>
      <w:proofErr w:type="spellStart"/>
      <w:r>
        <w:rPr>
          <w:rFonts w:eastAsia="Times New Roman" w:cs="Times New Roman"/>
          <w:color w:val="000000"/>
        </w:rPr>
        <w:t>Ṭipū</w:t>
      </w:r>
      <w:proofErr w:type="spellEnd"/>
      <w:r>
        <w:rPr>
          <w:rFonts w:eastAsia="Times New Roman" w:cs="Times New Roman"/>
          <w:color w:val="000000"/>
        </w:rPr>
        <w:t xml:space="preserve"> </w:t>
      </w:r>
      <w:proofErr w:type="spellStart"/>
      <w:r>
        <w:rPr>
          <w:rFonts w:eastAsia="Times New Roman" w:cs="Times New Roman"/>
          <w:color w:val="000000"/>
        </w:rPr>
        <w:t>Sultān</w:t>
      </w:r>
      <w:proofErr w:type="spellEnd"/>
      <w:r>
        <w:rPr>
          <w:rFonts w:eastAsia="Times New Roman" w:cs="Times New Roman"/>
          <w:color w:val="000000"/>
        </w:rPr>
        <w:t xml:space="preserve">, who had conquered the region in 1763 and 1782, respectively, and established themselves as the kings of </w:t>
      </w:r>
      <w:r>
        <w:rPr>
          <w:rFonts w:eastAsia="Times New Roman" w:cs="Times New Roman"/>
          <w:color w:val="000000"/>
        </w:rPr>
        <w:lastRenderedPageBreak/>
        <w:t>Nagara.</w:t>
      </w:r>
      <w:r>
        <w:rPr>
          <w:rStyle w:val="EndnoteReference"/>
          <w:rFonts w:eastAsia="Times New Roman" w:cs="Times New Roman"/>
          <w:color w:val="000000"/>
        </w:rPr>
        <w:endnoteReference w:id="2"/>
      </w:r>
      <w:r>
        <w:rPr>
          <w:rFonts w:eastAsia="Times New Roman" w:cs="Times New Roman"/>
          <w:color w:val="000000"/>
        </w:rPr>
        <w:t xml:space="preserve"> Nagara had only become the possession of the Wodeyar kings through the Subsidiary Treaty of 1799 after the death of </w:t>
      </w:r>
      <w:proofErr w:type="spellStart"/>
      <w:r>
        <w:rPr>
          <w:rFonts w:eastAsia="Times New Roman" w:cs="Times New Roman"/>
          <w:color w:val="000000"/>
        </w:rPr>
        <w:t>Ṭipū</w:t>
      </w:r>
      <w:proofErr w:type="spellEnd"/>
      <w:r>
        <w:rPr>
          <w:rFonts w:eastAsia="Times New Roman" w:cs="Times New Roman"/>
          <w:color w:val="000000"/>
        </w:rPr>
        <w:t xml:space="preserve"> </w:t>
      </w:r>
      <w:proofErr w:type="spellStart"/>
      <w:r>
        <w:rPr>
          <w:rFonts w:eastAsia="Times New Roman" w:cs="Times New Roman"/>
          <w:color w:val="000000"/>
        </w:rPr>
        <w:t>Sultān</w:t>
      </w:r>
      <w:proofErr w:type="spellEnd"/>
      <w:r>
        <w:rPr>
          <w:rFonts w:eastAsia="Times New Roman" w:cs="Times New Roman"/>
          <w:color w:val="000000"/>
        </w:rPr>
        <w:t xml:space="preserve">. </w:t>
      </w:r>
    </w:p>
    <w:p w14:paraId="4896208F" w14:textId="35A937CC" w:rsidR="00A63A65" w:rsidRDefault="00000000">
      <w:pPr>
        <w:spacing w:line="480" w:lineRule="auto"/>
        <w:ind w:firstLine="720"/>
        <w:contextualSpacing/>
      </w:pPr>
      <w:r>
        <w:rPr>
          <w:rFonts w:eastAsia="Times New Roman" w:cs="Times New Roman"/>
          <w:color w:val="000000"/>
        </w:rPr>
        <w:t xml:space="preserve">As I have argued </w:t>
      </w:r>
      <w:commentRangeStart w:id="66"/>
      <w:r>
        <w:rPr>
          <w:rFonts w:eastAsia="Times New Roman" w:cs="Times New Roman"/>
          <w:color w:val="000000"/>
        </w:rPr>
        <w:t>elsewhere</w:t>
      </w:r>
      <w:commentRangeEnd w:id="66"/>
      <w:r w:rsidR="00442F75">
        <w:rPr>
          <w:rStyle w:val="CommentReference"/>
        </w:rPr>
        <w:commentReference w:id="66"/>
      </w:r>
      <w:r w:rsidR="00430C70">
        <w:rPr>
          <w:rFonts w:eastAsia="Times New Roman" w:cs="Times New Roman"/>
          <w:color w:val="000000"/>
        </w:rPr>
        <w:t xml:space="preserve"> (Simmons 2020)</w:t>
      </w:r>
      <w:r>
        <w:rPr>
          <w:rFonts w:eastAsia="Times New Roman" w:cs="Times New Roman"/>
          <w:color w:val="000000"/>
        </w:rPr>
        <w:t xml:space="preserve">, in the subsequent years of his reign, Kṛṣṇarāja III and his court emphasized his </w:t>
      </w:r>
      <w:commentRangeStart w:id="67"/>
      <w:r>
        <w:rPr>
          <w:rFonts w:eastAsia="Times New Roman" w:cs="Times New Roman"/>
          <w:color w:val="000000"/>
        </w:rPr>
        <w:t xml:space="preserve">“Hindu” </w:t>
      </w:r>
      <w:commentRangeEnd w:id="67"/>
      <w:r w:rsidR="00453156">
        <w:rPr>
          <w:rStyle w:val="CommentReference"/>
        </w:rPr>
        <w:commentReference w:id="67"/>
      </w:r>
      <w:r>
        <w:rPr>
          <w:rFonts w:eastAsia="Times New Roman" w:cs="Times New Roman"/>
          <w:color w:val="000000"/>
        </w:rPr>
        <w:t>identity</w:t>
      </w:r>
      <w:r w:rsidR="00430C70">
        <w:rPr>
          <w:rFonts w:eastAsia="Times New Roman" w:cs="Times New Roman"/>
          <w:color w:val="000000"/>
        </w:rPr>
        <w:t>—even using the term—</w:t>
      </w:r>
      <w:r>
        <w:rPr>
          <w:rFonts w:eastAsia="Times New Roman" w:cs="Times New Roman"/>
          <w:color w:val="000000"/>
        </w:rPr>
        <w:t xml:space="preserve">as he attempted to situate himself into the British historiography of India. This was done </w:t>
      </w:r>
      <w:proofErr w:type="gramStart"/>
      <w:r>
        <w:rPr>
          <w:rFonts w:eastAsia="Times New Roman" w:cs="Times New Roman"/>
          <w:color w:val="000000"/>
        </w:rPr>
        <w:t>in an attempt to</w:t>
      </w:r>
      <w:proofErr w:type="gramEnd"/>
      <w:r>
        <w:rPr>
          <w:rFonts w:eastAsia="Times New Roman" w:cs="Times New Roman"/>
          <w:color w:val="000000"/>
        </w:rPr>
        <w:t xml:space="preserve"> justify his claims to kingship, not on the grounds of the “rights of conquest” but through religious identity as the rightful </w:t>
      </w:r>
      <w:commentRangeStart w:id="68"/>
      <w:r>
        <w:rPr>
          <w:rFonts w:eastAsia="Times New Roman" w:cs="Times New Roman"/>
          <w:color w:val="000000"/>
        </w:rPr>
        <w:t xml:space="preserve">“ancient Hindu rajah” </w:t>
      </w:r>
      <w:commentRangeEnd w:id="68"/>
      <w:r w:rsidR="00667E72">
        <w:rPr>
          <w:rStyle w:val="CommentReference"/>
        </w:rPr>
        <w:commentReference w:id="68"/>
      </w:r>
      <w:r>
        <w:rPr>
          <w:rFonts w:eastAsia="Times New Roman" w:cs="Times New Roman"/>
          <w:color w:val="000000"/>
        </w:rPr>
        <w:t>of Mysore (Simmons 2020: 107</w:t>
      </w:r>
      <w:r w:rsidR="000E1FE5">
        <w:rPr>
          <w:rFonts w:eastAsia="Times New Roman" w:cs="Times New Roman"/>
          <w:color w:val="000000"/>
        </w:rPr>
        <w:t>–</w:t>
      </w:r>
      <w:r>
        <w:rPr>
          <w:rFonts w:eastAsia="Times New Roman" w:cs="Times New Roman"/>
          <w:color w:val="000000"/>
        </w:rPr>
        <w:t xml:space="preserve">132). Kṛṣṇarāja III argued for his sovereignty over the region through both explicit and implicit claims of Hindu identity and kingship, framing himself as a king for all Hindus. In addition to theoretical framing of his sovereign authority, a consolidated Hindu identity served </w:t>
      </w:r>
      <w:proofErr w:type="gramStart"/>
      <w:r>
        <w:rPr>
          <w:rFonts w:eastAsia="Times New Roman" w:cs="Times New Roman"/>
          <w:color w:val="000000"/>
        </w:rPr>
        <w:t>as a means to</w:t>
      </w:r>
      <w:proofErr w:type="gramEnd"/>
      <w:r>
        <w:rPr>
          <w:rFonts w:eastAsia="Times New Roman" w:cs="Times New Roman"/>
          <w:color w:val="000000"/>
        </w:rPr>
        <w:t xml:space="preserve"> unite the various religious traditions of southern Karnataka under one larger unified political banner. Therefore, </w:t>
      </w:r>
      <w:proofErr w:type="spellStart"/>
      <w:r>
        <w:rPr>
          <w:rFonts w:eastAsia="Times New Roman" w:cs="Times New Roman"/>
          <w:color w:val="000000"/>
        </w:rPr>
        <w:t>Kṛṣṇarāja</w:t>
      </w:r>
      <w:proofErr w:type="spellEnd"/>
      <w:r>
        <w:rPr>
          <w:rFonts w:eastAsia="Times New Roman" w:cs="Times New Roman"/>
          <w:color w:val="000000"/>
        </w:rPr>
        <w:t xml:space="preserve"> III thoroughly incorporated </w:t>
      </w:r>
      <w:proofErr w:type="spellStart"/>
      <w:r>
        <w:t>Vīraśaiva-Liṅgāyatism</w:t>
      </w:r>
      <w:proofErr w:type="spellEnd"/>
      <w:r>
        <w:t xml:space="preserve"> </w:t>
      </w:r>
      <w:r>
        <w:rPr>
          <w:rFonts w:eastAsia="Times New Roman" w:cs="Times New Roman"/>
          <w:color w:val="000000"/>
        </w:rPr>
        <w:t xml:space="preserve">into his ritual and devotional life </w:t>
      </w:r>
      <w:proofErr w:type="gramStart"/>
      <w:r>
        <w:rPr>
          <w:rFonts w:eastAsia="Times New Roman" w:cs="Times New Roman"/>
          <w:color w:val="000000"/>
        </w:rPr>
        <w:t>in an attempt to</w:t>
      </w:r>
      <w:proofErr w:type="gramEnd"/>
      <w:r>
        <w:rPr>
          <w:rFonts w:eastAsia="Times New Roman" w:cs="Times New Roman"/>
          <w:color w:val="000000"/>
        </w:rPr>
        <w:t xml:space="preserve"> consolidate support through appeals to a Hindu identity (see Stoker 2016). </w:t>
      </w:r>
      <w:r>
        <w:t xml:space="preserve">Kṛṣṇarāja III </w:t>
      </w:r>
      <w:r>
        <w:rPr>
          <w:rFonts w:eastAsia="Times New Roman" w:cs="Times New Roman"/>
          <w:color w:val="000000"/>
        </w:rPr>
        <w:t xml:space="preserve">went to such great lengths to demonstrate his acceptance of </w:t>
      </w:r>
      <w:proofErr w:type="spellStart"/>
      <w:r>
        <w:t>Vīraśaiva-Liṅgāyatism</w:t>
      </w:r>
      <w:proofErr w:type="spellEnd"/>
      <w:r>
        <w:t xml:space="preserve"> that he was initiated into the tradition and incorporated </w:t>
      </w:r>
      <w:r w:rsidR="00430C70">
        <w:t xml:space="preserve">it </w:t>
      </w:r>
      <w:r>
        <w:t xml:space="preserve">into the </w:t>
      </w:r>
      <w:proofErr w:type="spellStart"/>
      <w:r>
        <w:t>Woḍeyars</w:t>
      </w:r>
      <w:proofErr w:type="spellEnd"/>
      <w:r>
        <w:t xml:space="preserve">’ origin narrative. </w:t>
      </w:r>
    </w:p>
    <w:p w14:paraId="426BDC66" w14:textId="134F6D00" w:rsidR="00A63A65" w:rsidRDefault="00000000">
      <w:pPr>
        <w:spacing w:line="480" w:lineRule="auto"/>
        <w:ind w:firstLine="720"/>
        <w:contextualSpacing/>
      </w:pPr>
      <w:r>
        <w:t xml:space="preserve">The most thorough account that connects Kṛṣṇarāja III to the </w:t>
      </w:r>
      <w:proofErr w:type="spellStart"/>
      <w:r>
        <w:t>Vīraśaiva-</w:t>
      </w:r>
      <w:r w:rsidR="00BA1800">
        <w:t>Liṅgāyat</w:t>
      </w:r>
      <w:proofErr w:type="spellEnd"/>
      <w:r>
        <w:t xml:space="preserve"> tradition is detailed in the </w:t>
      </w:r>
      <w:r>
        <w:rPr>
          <w:i/>
          <w:iCs/>
        </w:rPr>
        <w:t>Śrīmanmahārājavara Vaṃśāvaḷi</w:t>
      </w:r>
      <w:r>
        <w:t xml:space="preserve"> (or </w:t>
      </w:r>
      <w:r>
        <w:rPr>
          <w:i/>
          <w:iCs/>
        </w:rPr>
        <w:t>Lineage of the Kings of Mysore</w:t>
      </w:r>
      <w:r>
        <w:t xml:space="preserve">; ca. 1867), a lengthy history of the Mysore kings that is attributed to the king himself. The text traces the lineage of the </w:t>
      </w:r>
      <w:proofErr w:type="spellStart"/>
      <w:r>
        <w:t>Wo</w:t>
      </w:r>
      <w:r w:rsidR="00430C70">
        <w:t>ḍ</w:t>
      </w:r>
      <w:r>
        <w:t>eyars</w:t>
      </w:r>
      <w:proofErr w:type="spellEnd"/>
      <w:r>
        <w:t xml:space="preserve"> from the creation of the cosmos to Kṛṣṇarāja III, particularly focusing on the period following the migration of the Wodeyar progenitor Yadurāya to Mysore in 1399 </w:t>
      </w:r>
      <w:proofErr w:type="spellStart"/>
      <w:r>
        <w:rPr>
          <w:smallCaps/>
        </w:rPr>
        <w:t>ce</w:t>
      </w:r>
      <w:proofErr w:type="spellEnd"/>
      <w:r>
        <w:t xml:space="preserve">. It is in this narrative of the establishment of the Wodeyar kingdom in Mysore that </w:t>
      </w:r>
      <w:proofErr w:type="spellStart"/>
      <w:r>
        <w:t>Vīraśaiva-Liṅgāyatism</w:t>
      </w:r>
      <w:proofErr w:type="spellEnd"/>
      <w:r>
        <w:t xml:space="preserve"> is embedded into Wodeyar </w:t>
      </w:r>
      <w:r>
        <w:lastRenderedPageBreak/>
        <w:t xml:space="preserve">sovereignty through the authority of a </w:t>
      </w:r>
      <w:proofErr w:type="spellStart"/>
      <w:r>
        <w:rPr>
          <w:i/>
          <w:iCs/>
        </w:rPr>
        <w:t>jaṅgama</w:t>
      </w:r>
      <w:proofErr w:type="spellEnd"/>
      <w:r>
        <w:t xml:space="preserve">. The text tells us that Yadurāya and his brother Kṛṣṇarāya traveled to Mysore and immediately made a pilgrimage to Chamundi Hill to see the goddess Cāmuṇḍēśvari, who was supposed to give them a kingdom over which they would rule. After worshiping the goddess, she appeared before the brothers and told them to go to the goddess </w:t>
      </w:r>
      <w:proofErr w:type="spellStart"/>
      <w:r>
        <w:t>Uttanahalli’s</w:t>
      </w:r>
      <w:proofErr w:type="spellEnd"/>
      <w:r>
        <w:t xml:space="preserve"> temple and then “</w:t>
      </w:r>
      <w:r>
        <w:rPr>
          <w:rFonts w:eastAsia="Calibri" w:cs="Times New Roman"/>
        </w:rPr>
        <w:t xml:space="preserve">to go the </w:t>
      </w:r>
      <w:proofErr w:type="spellStart"/>
      <w:r>
        <w:rPr>
          <w:rFonts w:eastAsia="Calibri" w:cs="Times New Roman"/>
        </w:rPr>
        <w:t>Kōḍibhairava</w:t>
      </w:r>
      <w:proofErr w:type="spellEnd"/>
      <w:r>
        <w:rPr>
          <w:rFonts w:eastAsia="Calibri" w:cs="Times New Roman"/>
        </w:rPr>
        <w:t xml:space="preserve"> temple beside the pond, which is behind the temple of </w:t>
      </w:r>
      <w:proofErr w:type="spellStart"/>
      <w:r>
        <w:rPr>
          <w:rFonts w:eastAsia="Calibri" w:cs="Times New Roman"/>
        </w:rPr>
        <w:t>Īśvara</w:t>
      </w:r>
      <w:proofErr w:type="spellEnd"/>
      <w:r>
        <w:rPr>
          <w:rFonts w:eastAsia="Calibri" w:cs="Times New Roman"/>
        </w:rPr>
        <w:t xml:space="preserve"> who was worshiped by the </w:t>
      </w:r>
      <w:proofErr w:type="spellStart"/>
      <w:r>
        <w:rPr>
          <w:rFonts w:eastAsia="Calibri" w:cs="Times New Roman"/>
        </w:rPr>
        <w:t>Ṛṣi</w:t>
      </w:r>
      <w:proofErr w:type="spellEnd"/>
      <w:r>
        <w:rPr>
          <w:rFonts w:eastAsia="Calibri" w:cs="Times New Roman"/>
        </w:rPr>
        <w:t xml:space="preserve"> </w:t>
      </w:r>
      <w:proofErr w:type="spellStart"/>
      <w:r>
        <w:rPr>
          <w:rFonts w:eastAsia="Calibri" w:cs="Times New Roman"/>
        </w:rPr>
        <w:t>Tṛnabindu</w:t>
      </w:r>
      <w:proofErr w:type="spellEnd"/>
      <w:r>
        <w:rPr>
          <w:rFonts w:eastAsia="Calibri" w:cs="Times New Roman"/>
        </w:rPr>
        <w:t xml:space="preserve"> that is on the East side of Mysore </w:t>
      </w:r>
      <w:proofErr w:type="gramStart"/>
      <w:r>
        <w:rPr>
          <w:rFonts w:eastAsia="Calibri" w:cs="Times New Roman"/>
        </w:rPr>
        <w:t>city, and</w:t>
      </w:r>
      <w:proofErr w:type="gramEnd"/>
      <w:r>
        <w:rPr>
          <w:rFonts w:eastAsia="Calibri" w:cs="Times New Roman"/>
        </w:rPr>
        <w:t xml:space="preserve"> stay there. At that time, a man wearing a </w:t>
      </w:r>
      <w:proofErr w:type="spellStart"/>
      <w:r>
        <w:rPr>
          <w:rFonts w:eastAsia="Calibri" w:cs="Times New Roman"/>
          <w:i/>
          <w:iCs/>
        </w:rPr>
        <w:t>liṅga</w:t>
      </w:r>
      <w:proofErr w:type="spellEnd"/>
      <w:r>
        <w:rPr>
          <w:rFonts w:eastAsia="Calibri" w:cs="Times New Roman"/>
        </w:rPr>
        <w:t xml:space="preserve"> and the robes of a </w:t>
      </w:r>
      <w:proofErr w:type="spellStart"/>
      <w:r>
        <w:rPr>
          <w:rFonts w:eastAsia="Calibri" w:cs="Times New Roman"/>
          <w:i/>
          <w:iCs/>
        </w:rPr>
        <w:t>jaṅgama</w:t>
      </w:r>
      <w:proofErr w:type="spellEnd"/>
      <w:r>
        <w:rPr>
          <w:rFonts w:eastAsia="Calibri" w:cs="Times New Roman"/>
          <w:i/>
          <w:iCs/>
        </w:rPr>
        <w:t xml:space="preserve"> </w:t>
      </w:r>
      <w:r>
        <w:rPr>
          <w:rFonts w:eastAsia="Calibri" w:cs="Times New Roman"/>
        </w:rPr>
        <w:t>will come. When he sees you, he will say a few words” (Wodeyar 1916, 4</w:t>
      </w:r>
      <w:r w:rsidR="00771492">
        <w:rPr>
          <w:rFonts w:eastAsia="Calibri" w:cs="Times New Roman"/>
        </w:rPr>
        <w:t>–</w:t>
      </w:r>
      <w:r>
        <w:rPr>
          <w:rFonts w:eastAsia="Calibri" w:cs="Times New Roman"/>
        </w:rPr>
        <w:t xml:space="preserve">7; my translation; see also Simmons </w:t>
      </w:r>
      <w:r w:rsidR="00430C70">
        <w:rPr>
          <w:rFonts w:eastAsia="Calibri" w:cs="Times New Roman"/>
        </w:rPr>
        <w:t>2020)</w:t>
      </w:r>
      <w:r>
        <w:rPr>
          <w:rFonts w:eastAsia="Calibri" w:cs="Times New Roman"/>
        </w:rPr>
        <w:t xml:space="preserve">. The brothers did as they were told and the next </w:t>
      </w:r>
      <w:proofErr w:type="gramStart"/>
      <w:r>
        <w:rPr>
          <w:rFonts w:eastAsia="Calibri" w:cs="Times New Roman"/>
        </w:rPr>
        <w:t>morning</w:t>
      </w:r>
      <w:proofErr w:type="gramEnd"/>
      <w:r>
        <w:rPr>
          <w:rFonts w:eastAsia="Calibri" w:cs="Times New Roman"/>
        </w:rPr>
        <w:t xml:space="preserve"> </w:t>
      </w:r>
      <w:r w:rsidR="00430C70">
        <w:rPr>
          <w:rFonts w:eastAsia="Calibri" w:cs="Times New Roman"/>
        </w:rPr>
        <w:t xml:space="preserve">they met </w:t>
      </w:r>
      <w:r>
        <w:rPr>
          <w:rFonts w:eastAsia="Calibri" w:cs="Times New Roman"/>
        </w:rPr>
        <w:t xml:space="preserve">a </w:t>
      </w:r>
      <w:proofErr w:type="spellStart"/>
      <w:r>
        <w:rPr>
          <w:rFonts w:eastAsia="Calibri" w:cs="Times New Roman"/>
          <w:i/>
          <w:iCs/>
        </w:rPr>
        <w:t>jaṅgama</w:t>
      </w:r>
      <w:proofErr w:type="spellEnd"/>
      <w:r>
        <w:rPr>
          <w:rFonts w:eastAsia="Calibri" w:cs="Times New Roman"/>
        </w:rPr>
        <w:t xml:space="preserve">. After a brief conversation about the brothers’ background and their journey to Mysore, the </w:t>
      </w:r>
      <w:proofErr w:type="spellStart"/>
      <w:r>
        <w:rPr>
          <w:rFonts w:eastAsia="Calibri" w:cs="Times New Roman"/>
          <w:i/>
          <w:iCs/>
        </w:rPr>
        <w:t>jaṅgama</w:t>
      </w:r>
      <w:proofErr w:type="spellEnd"/>
      <w:r>
        <w:rPr>
          <w:rFonts w:eastAsia="Calibri" w:cs="Times New Roman"/>
        </w:rPr>
        <w:t xml:space="preserve"> told them of the evils that had beset Mysore and its former rulers and that another </w:t>
      </w:r>
      <w:proofErr w:type="spellStart"/>
      <w:r>
        <w:rPr>
          <w:rFonts w:eastAsia="Calibri" w:cs="Times New Roman"/>
          <w:i/>
          <w:iCs/>
        </w:rPr>
        <w:t>jaṅgama</w:t>
      </w:r>
      <w:proofErr w:type="spellEnd"/>
      <w:r>
        <w:rPr>
          <w:rFonts w:eastAsia="Calibri" w:cs="Times New Roman"/>
          <w:i/>
          <w:iCs/>
        </w:rPr>
        <w:t xml:space="preserve"> </w:t>
      </w:r>
      <w:r>
        <w:rPr>
          <w:rFonts w:eastAsia="Calibri" w:cs="Times New Roman"/>
        </w:rPr>
        <w:t>would come give them instructions on how to take the city</w:t>
      </w:r>
      <w:r w:rsidR="00974BB2">
        <w:rPr>
          <w:rFonts w:eastAsia="Calibri" w:cs="Times New Roman"/>
        </w:rPr>
        <w:t>.</w:t>
      </w:r>
      <w:r>
        <w:rPr>
          <w:rFonts w:eastAsia="Calibri" w:cs="Times New Roman"/>
        </w:rPr>
        <w:t xml:space="preserve"> </w:t>
      </w:r>
      <w:r w:rsidR="00974BB2">
        <w:rPr>
          <w:rFonts w:eastAsia="Calibri" w:cs="Times New Roman"/>
        </w:rPr>
        <w:t>A</w:t>
      </w:r>
      <w:r>
        <w:rPr>
          <w:rFonts w:eastAsia="Calibri" w:cs="Times New Roman"/>
        </w:rPr>
        <w:t>t this point, the mendicant vanished</w:t>
      </w:r>
      <w:r w:rsidR="00974BB2">
        <w:rPr>
          <w:rFonts w:eastAsia="Calibri" w:cs="Times New Roman"/>
        </w:rPr>
        <w:t>,</w:t>
      </w:r>
      <w:r>
        <w:rPr>
          <w:rFonts w:eastAsia="Calibri" w:cs="Times New Roman"/>
        </w:rPr>
        <w:t xml:space="preserve"> and the brothers realized that the </w:t>
      </w:r>
      <w:proofErr w:type="spellStart"/>
      <w:r w:rsidR="009F32B8">
        <w:t>Vīraśaiva-Liṅgāyat</w:t>
      </w:r>
      <w:proofErr w:type="spellEnd"/>
      <w:r w:rsidR="009F32B8">
        <w:t xml:space="preserve"> </w:t>
      </w:r>
      <w:r w:rsidR="009F32B8">
        <w:t xml:space="preserve">mendicant </w:t>
      </w:r>
      <w:r>
        <w:rPr>
          <w:rFonts w:eastAsia="Calibri" w:cs="Times New Roman"/>
        </w:rPr>
        <w:t xml:space="preserve">had been none other than </w:t>
      </w:r>
      <w:r w:rsidR="00430C70">
        <w:rPr>
          <w:rFonts w:eastAsia="Calibri" w:cs="Times New Roman"/>
        </w:rPr>
        <w:t>Ś</w:t>
      </w:r>
      <w:commentRangeStart w:id="69"/>
      <w:r>
        <w:rPr>
          <w:rFonts w:eastAsia="Calibri" w:cs="Times New Roman"/>
        </w:rPr>
        <w:t xml:space="preserve">iva </w:t>
      </w:r>
      <w:commentRangeEnd w:id="69"/>
      <w:r w:rsidR="00DD13AA">
        <w:rPr>
          <w:rStyle w:val="CommentReference"/>
        </w:rPr>
        <w:commentReference w:id="69"/>
      </w:r>
      <w:r>
        <w:rPr>
          <w:rFonts w:eastAsia="Calibri" w:cs="Times New Roman"/>
        </w:rPr>
        <w:t xml:space="preserve">in his manifestation as </w:t>
      </w:r>
      <w:proofErr w:type="spellStart"/>
      <w:r>
        <w:rPr>
          <w:rFonts w:eastAsia="Calibri" w:cs="Times New Roman"/>
        </w:rPr>
        <w:t>Śrīkaṇṭhēśvara</w:t>
      </w:r>
      <w:proofErr w:type="spellEnd"/>
      <w:r>
        <w:rPr>
          <w:rFonts w:eastAsia="Calibri" w:cs="Times New Roman"/>
        </w:rPr>
        <w:t xml:space="preserve">, the deity who lives at nearby </w:t>
      </w:r>
      <w:proofErr w:type="spellStart"/>
      <w:r>
        <w:rPr>
          <w:rFonts w:eastAsia="Calibri" w:cs="Times New Roman"/>
        </w:rPr>
        <w:t>Nañjaṅgūḍu</w:t>
      </w:r>
      <w:proofErr w:type="spellEnd"/>
      <w:r>
        <w:rPr>
          <w:rFonts w:eastAsia="Calibri" w:cs="Times New Roman"/>
        </w:rPr>
        <w:t xml:space="preserve">. They vowed right then and there that, just as </w:t>
      </w:r>
      <w:proofErr w:type="spellStart"/>
      <w:r>
        <w:rPr>
          <w:rFonts w:eastAsia="Calibri" w:cs="Times New Roman"/>
        </w:rPr>
        <w:t>Cāmuṇḍi</w:t>
      </w:r>
      <w:proofErr w:type="spellEnd"/>
      <w:r>
        <w:rPr>
          <w:rFonts w:eastAsia="Calibri" w:cs="Times New Roman"/>
        </w:rPr>
        <w:t xml:space="preserve"> is their family goddess, </w:t>
      </w:r>
      <w:proofErr w:type="spellStart"/>
      <w:r>
        <w:rPr>
          <w:rFonts w:eastAsia="Calibri" w:cs="Times New Roman"/>
        </w:rPr>
        <w:t>Śrīkaṇṭhēśvara</w:t>
      </w:r>
      <w:proofErr w:type="spellEnd"/>
      <w:r>
        <w:rPr>
          <w:rFonts w:eastAsia="Calibri" w:cs="Times New Roman"/>
        </w:rPr>
        <w:t xml:space="preserve"> will be their family god, in marked contrast to the slaughter of </w:t>
      </w:r>
      <w:proofErr w:type="spellStart"/>
      <w:r w:rsidR="009F32B8">
        <w:t>Vīraśaiva-Liṅgāyat</w:t>
      </w:r>
      <w:r w:rsidR="009F32B8">
        <w:t>s</w:t>
      </w:r>
      <w:proofErr w:type="spellEnd"/>
      <w:r w:rsidR="009F32B8">
        <w:t xml:space="preserve"> </w:t>
      </w:r>
      <w:r>
        <w:rPr>
          <w:rFonts w:eastAsia="Calibri" w:cs="Times New Roman"/>
        </w:rPr>
        <w:t xml:space="preserve">in the </w:t>
      </w:r>
      <w:commentRangeStart w:id="70"/>
      <w:proofErr w:type="spellStart"/>
      <w:r>
        <w:rPr>
          <w:rFonts w:eastAsia="Calibri" w:cs="Times New Roman"/>
        </w:rPr>
        <w:t>Śrīkaṇṭhēśvara</w:t>
      </w:r>
      <w:proofErr w:type="spellEnd"/>
      <w:r>
        <w:rPr>
          <w:rFonts w:eastAsia="Calibri" w:cs="Times New Roman"/>
        </w:rPr>
        <w:t xml:space="preserve"> </w:t>
      </w:r>
      <w:commentRangeEnd w:id="70"/>
      <w:r w:rsidR="00764265">
        <w:rPr>
          <w:rStyle w:val="CommentReference"/>
        </w:rPr>
        <w:commentReference w:id="70"/>
      </w:r>
      <w:r>
        <w:rPr>
          <w:rFonts w:eastAsia="Calibri" w:cs="Times New Roman"/>
        </w:rPr>
        <w:t xml:space="preserve">of </w:t>
      </w:r>
      <w:proofErr w:type="spellStart"/>
      <w:r>
        <w:rPr>
          <w:rFonts w:eastAsia="Calibri" w:cs="Times New Roman"/>
        </w:rPr>
        <w:t>Nañjaṅgūḍu</w:t>
      </w:r>
      <w:proofErr w:type="spellEnd"/>
      <w:r>
        <w:rPr>
          <w:rFonts w:eastAsia="Calibri" w:cs="Times New Roman"/>
        </w:rPr>
        <w:t xml:space="preserve"> during the revolt of 1686 as described in Wilks’s history. The centrality of the </w:t>
      </w:r>
      <w:commentRangeStart w:id="71"/>
      <w:proofErr w:type="spellStart"/>
      <w:r>
        <w:t>Vīraśaiva-</w:t>
      </w:r>
      <w:r w:rsidR="00BA1800">
        <w:t>Liṅgāyat</w:t>
      </w:r>
      <w:proofErr w:type="spellEnd"/>
      <w:r>
        <w:t xml:space="preserve"> tradition </w:t>
      </w:r>
      <w:commentRangeEnd w:id="71"/>
      <w:r w:rsidR="009A4213">
        <w:rPr>
          <w:rStyle w:val="CommentReference"/>
        </w:rPr>
        <w:commentReference w:id="71"/>
      </w:r>
      <w:r>
        <w:t xml:space="preserve">in the foundation of the Mysore Wodeyar kingdom is further reiterated later in the narrative at </w:t>
      </w:r>
      <w:proofErr w:type="spellStart"/>
      <w:r>
        <w:t>Yadurāya’s</w:t>
      </w:r>
      <w:proofErr w:type="spellEnd"/>
      <w:r>
        <w:t xml:space="preserve"> </w:t>
      </w:r>
      <w:proofErr w:type="spellStart"/>
      <w:r>
        <w:t>coronoation</w:t>
      </w:r>
      <w:proofErr w:type="spellEnd"/>
      <w:r>
        <w:t xml:space="preserve"> in the </w:t>
      </w:r>
      <w:r>
        <w:rPr>
          <w:i/>
          <w:iCs/>
        </w:rPr>
        <w:t>Śrīmanmahārājavara Vaṃśāvaḷi</w:t>
      </w:r>
      <w:r>
        <w:t xml:space="preserve">: “Having made </w:t>
      </w:r>
      <w:commentRangeStart w:id="72"/>
      <w:r>
        <w:t>[</w:t>
      </w:r>
      <w:proofErr w:type="spellStart"/>
      <w:r>
        <w:t>Vīraśaiva-Liṅgāyatism</w:t>
      </w:r>
      <w:proofErr w:type="spellEnd"/>
      <w:r>
        <w:t xml:space="preserve">] </w:t>
      </w:r>
      <w:commentRangeEnd w:id="72"/>
      <w:r w:rsidR="003A124B">
        <w:rPr>
          <w:rStyle w:val="CommentReference"/>
        </w:rPr>
        <w:commentReference w:id="72"/>
      </w:r>
      <w:r>
        <w:t xml:space="preserve">their family tradition as requested by the </w:t>
      </w:r>
      <w:proofErr w:type="spellStart"/>
      <w:r>
        <w:rPr>
          <w:i/>
          <w:iCs/>
        </w:rPr>
        <w:t>jaṅgama</w:t>
      </w:r>
      <w:proofErr w:type="spellEnd"/>
      <w:r>
        <w:t xml:space="preserve">, who had been pleased by their actions, the brothers commanded that all subsequent rulers would be called </w:t>
      </w:r>
      <w:commentRangeStart w:id="73"/>
      <w:r>
        <w:t xml:space="preserve">by the name Woḍeyar, and that </w:t>
      </w:r>
      <w:r>
        <w:lastRenderedPageBreak/>
        <w:t xml:space="preserve">saffron cloth, the symbol and vestment of the </w:t>
      </w:r>
      <w:r>
        <w:rPr>
          <w:i/>
          <w:iCs/>
        </w:rPr>
        <w:t>jaṅgama</w:t>
      </w:r>
      <w:r>
        <w:t xml:space="preserve">s, be included in their flag </w:t>
      </w:r>
      <w:commentRangeEnd w:id="73"/>
      <w:r w:rsidR="00A02034">
        <w:rPr>
          <w:rStyle w:val="CommentReference"/>
        </w:rPr>
        <w:commentReference w:id="73"/>
      </w:r>
      <w:r>
        <w:rPr>
          <w:rFonts w:eastAsia="Calibri" w:cs="Times New Roman"/>
        </w:rPr>
        <w:t>(Wodeyar 1916, 7; my translation)</w:t>
      </w:r>
      <w:r>
        <w:t>.</w:t>
      </w:r>
    </w:p>
    <w:p w14:paraId="3EF315B6" w14:textId="1E077167" w:rsidR="00A63A65" w:rsidRDefault="00000000">
      <w:pPr>
        <w:spacing w:line="480" w:lineRule="auto"/>
        <w:ind w:firstLine="720"/>
        <w:contextualSpacing/>
      </w:pPr>
      <w:r>
        <w:t xml:space="preserve">This small reference is easy to overlook but is crucial for the refashioning of the Woḍeyar kings as sovereigns authorized by </w:t>
      </w:r>
      <w:proofErr w:type="spellStart"/>
      <w:r>
        <w:t>Vīraśaiva-</w:t>
      </w:r>
      <w:r w:rsidR="00BA1800">
        <w:t>Liṅgāyat</w:t>
      </w:r>
      <w:r w:rsidR="009F32B8">
        <w:t>ism</w:t>
      </w:r>
      <w:proofErr w:type="spellEnd"/>
      <w:r w:rsidR="009F32B8">
        <w:t xml:space="preserve"> </w:t>
      </w:r>
      <w:proofErr w:type="gramStart"/>
      <w:r>
        <w:t>as a result of</w:t>
      </w:r>
      <w:proofErr w:type="gramEnd"/>
      <w:r>
        <w:t xml:space="preserve"> their piety and devotion. </w:t>
      </w:r>
      <w:commentRangeStart w:id="74"/>
      <w:r>
        <w:t xml:space="preserve">As </w:t>
      </w:r>
      <w:r w:rsidR="009F32B8">
        <w:t>mentioned earlier</w:t>
      </w:r>
      <w:r>
        <w:t xml:space="preserve">, the term </w:t>
      </w:r>
      <w:proofErr w:type="spellStart"/>
      <w:r>
        <w:rPr>
          <w:i/>
          <w:iCs/>
        </w:rPr>
        <w:t>oḍeyar</w:t>
      </w:r>
      <w:proofErr w:type="spellEnd"/>
      <w:r>
        <w:t xml:space="preserve"> was a medieval term </w:t>
      </w:r>
      <w:commentRangeEnd w:id="74"/>
      <w:r w:rsidR="003F78EC">
        <w:rPr>
          <w:rStyle w:val="CommentReference"/>
        </w:rPr>
        <w:commentReference w:id="74"/>
      </w:r>
      <w:r>
        <w:t xml:space="preserve">employed within imperial administration that denoted a small local vassal. This title was given to </w:t>
      </w:r>
      <w:proofErr w:type="spellStart"/>
      <w:r>
        <w:t>Bōḷu</w:t>
      </w:r>
      <w:proofErr w:type="spellEnd"/>
      <w:r>
        <w:t xml:space="preserve"> </w:t>
      </w:r>
      <w:proofErr w:type="spellStart"/>
      <w:r>
        <w:t>Cāmarāja</w:t>
      </w:r>
      <w:proofErr w:type="spellEnd"/>
      <w:r>
        <w:t xml:space="preserve"> IV by the </w:t>
      </w:r>
      <w:proofErr w:type="spellStart"/>
      <w:r>
        <w:t>Vijayanagara</w:t>
      </w:r>
      <w:proofErr w:type="spellEnd"/>
      <w:r>
        <w:t xml:space="preserve"> viceroy in 1573. The Woḍeyar clan certainly developed their family name from this petty administrative and political position within </w:t>
      </w:r>
      <w:proofErr w:type="spellStart"/>
      <w:r>
        <w:t>Vijayanagara</w:t>
      </w:r>
      <w:proofErr w:type="spellEnd"/>
      <w:r>
        <w:t xml:space="preserve"> polity </w:t>
      </w:r>
      <w:proofErr w:type="gramStart"/>
      <w:r>
        <w:t>as a way to</w:t>
      </w:r>
      <w:proofErr w:type="gramEnd"/>
      <w:r>
        <w:t xml:space="preserve"> maintain royal authority as the empire crumbled. </w:t>
      </w:r>
      <w:r w:rsidR="009F32B8">
        <w:t>T</w:t>
      </w:r>
      <w:r>
        <w:t>he</w:t>
      </w:r>
      <w:r w:rsidR="009F32B8">
        <w:t xml:space="preserve"> term</w:t>
      </w:r>
      <w:r>
        <w:t xml:space="preserve"> </w:t>
      </w:r>
      <w:proofErr w:type="spellStart"/>
      <w:r w:rsidR="009F32B8">
        <w:rPr>
          <w:i/>
          <w:iCs/>
        </w:rPr>
        <w:t>oḍeyar</w:t>
      </w:r>
      <w:proofErr w:type="spellEnd"/>
      <w:r w:rsidR="009F32B8">
        <w:t xml:space="preserve"> </w:t>
      </w:r>
      <w:r>
        <w:t xml:space="preserve">had also developed into a title for a leader within the </w:t>
      </w:r>
      <w:proofErr w:type="spellStart"/>
      <w:r>
        <w:t>Vīraśaiva-</w:t>
      </w:r>
      <w:r w:rsidR="00BA1800">
        <w:t>Liṅgāyat</w:t>
      </w:r>
      <w:proofErr w:type="spellEnd"/>
      <w:r>
        <w:t xml:space="preserve"> network of priests. By providing an alternate origin of the Woḍeyar family name, instead of tracing their name from the </w:t>
      </w:r>
      <w:proofErr w:type="spellStart"/>
      <w:r>
        <w:t>Vijayanagara</w:t>
      </w:r>
      <w:proofErr w:type="spellEnd"/>
      <w:r>
        <w:t xml:space="preserve"> imperium, the </w:t>
      </w:r>
      <w:proofErr w:type="spellStart"/>
      <w:r>
        <w:rPr>
          <w:i/>
          <w:iCs/>
        </w:rPr>
        <w:t>Śrīmanmahārājavara</w:t>
      </w:r>
      <w:proofErr w:type="spellEnd"/>
      <w:r>
        <w:rPr>
          <w:i/>
          <w:iCs/>
        </w:rPr>
        <w:t xml:space="preserve"> </w:t>
      </w:r>
      <w:proofErr w:type="spellStart"/>
      <w:r>
        <w:rPr>
          <w:i/>
          <w:iCs/>
        </w:rPr>
        <w:t>Vaṃśāvaḷi</w:t>
      </w:r>
      <w:proofErr w:type="spellEnd"/>
      <w:r>
        <w:t xml:space="preserve"> </w:t>
      </w:r>
      <w:r w:rsidR="009F32B8">
        <w:t>connects</w:t>
      </w:r>
      <w:r w:rsidR="009F32B8">
        <w:t xml:space="preserve"> </w:t>
      </w:r>
      <w:r>
        <w:t xml:space="preserve">the entire lineage </w:t>
      </w:r>
      <w:r w:rsidR="009F32B8">
        <w:t xml:space="preserve">to </w:t>
      </w:r>
      <w:proofErr w:type="spellStart"/>
      <w:r>
        <w:t>Vīraśaiva-</w:t>
      </w:r>
      <w:r w:rsidR="00BA1800">
        <w:t>Liṅgāyat</w:t>
      </w:r>
      <w:proofErr w:type="spellEnd"/>
      <w:r>
        <w:t xml:space="preserve"> leaders, resolving the tension over the title that Dēvacandra claimed had been the source of the 1686 rebellion. </w:t>
      </w:r>
    </w:p>
    <w:p w14:paraId="0E94CD19" w14:textId="747FE2F5" w:rsidR="00A63A65" w:rsidRDefault="00000000">
      <w:pPr>
        <w:spacing w:line="480" w:lineRule="auto"/>
        <w:ind w:firstLine="720"/>
        <w:contextualSpacing/>
      </w:pPr>
      <w:r>
        <w:t xml:space="preserve">The origin story of the </w:t>
      </w:r>
      <w:r>
        <w:rPr>
          <w:i/>
          <w:iCs/>
        </w:rPr>
        <w:t>Śrīmanmahārājavara Vaṃśāvaḷi</w:t>
      </w:r>
      <w:r>
        <w:t>, which was written approximately thirty-five years after the rebellion of 1830</w:t>
      </w:r>
      <w:r w:rsidR="00D15272">
        <w:t>–18</w:t>
      </w:r>
      <w:r>
        <w:t xml:space="preserve">31 and the subsequent British takeover, is the first extant record of </w:t>
      </w:r>
      <w:proofErr w:type="spellStart"/>
      <w:r>
        <w:t>Vīraśaiva-</w:t>
      </w:r>
      <w:r w:rsidR="00BA1800">
        <w:t>Liṅgāyat</w:t>
      </w:r>
      <w:proofErr w:type="spellEnd"/>
      <w:r>
        <w:t xml:space="preserve"> influence in the Wodeyar origin story. It, therefore, can only be understood in the context of the previous revolt as a </w:t>
      </w:r>
      <w:r>
        <w:rPr>
          <w:i/>
          <w:iCs/>
        </w:rPr>
        <w:t>post hoc</w:t>
      </w:r>
      <w:r>
        <w:t xml:space="preserve"> attempt to make a place of prominence for the </w:t>
      </w:r>
      <w:proofErr w:type="spellStart"/>
      <w:r>
        <w:t>Vīraśaiva-</w:t>
      </w:r>
      <w:r w:rsidR="00BA1800">
        <w:t>Liṅgāyat</w:t>
      </w:r>
      <w:proofErr w:type="spellEnd"/>
      <w:r>
        <w:t xml:space="preserve"> community within the devotional worldview of Kṛṣṇarāja III’s kingdom. Just as in the case of </w:t>
      </w:r>
      <w:proofErr w:type="spellStart"/>
      <w:r>
        <w:t>Buḍi</w:t>
      </w:r>
      <w:proofErr w:type="spellEnd"/>
      <w:r>
        <w:t xml:space="preserve"> </w:t>
      </w:r>
      <w:proofErr w:type="spellStart"/>
      <w:r>
        <w:t>Basavappa</w:t>
      </w:r>
      <w:proofErr w:type="spellEnd"/>
      <w:r>
        <w:t xml:space="preserve">, this devotional alliance with </w:t>
      </w:r>
      <w:proofErr w:type="spellStart"/>
      <w:r>
        <w:t>Vīraśaiva-</w:t>
      </w:r>
      <w:r w:rsidR="00BA1800">
        <w:t>Liṅgāyat</w:t>
      </w:r>
      <w:proofErr w:type="spellEnd"/>
      <w:r>
        <w:t xml:space="preserve"> priests and their religious institutions worked to retroactively bestow spiritual and sovereign power to the Wodeyar king whose authority was </w:t>
      </w:r>
      <w:proofErr w:type="gramStart"/>
      <w:r>
        <w:t>questioned</w:t>
      </w:r>
      <w:proofErr w:type="gramEnd"/>
      <w:r>
        <w:t xml:space="preserve"> and sovereignty challenged. </w:t>
      </w:r>
    </w:p>
    <w:p w14:paraId="7D8CF3B9" w14:textId="77777777" w:rsidR="00A63A65" w:rsidRDefault="00000000">
      <w:pPr>
        <w:spacing w:line="480" w:lineRule="auto"/>
        <w:jc w:val="center"/>
        <w:rPr>
          <w:rFonts w:eastAsia="Times New Roman" w:cs="Times New Roman"/>
          <w:b/>
          <w:bCs/>
          <w:color w:val="000000"/>
        </w:rPr>
      </w:pPr>
      <w:r>
        <w:rPr>
          <w:noProof/>
        </w:rPr>
        <w:lastRenderedPageBreak/>
        <w:drawing>
          <wp:inline distT="0" distB="0" distL="0" distR="0" wp14:anchorId="598D55CF" wp14:editId="1E21C9DB">
            <wp:extent cx="2655570" cy="2352675"/>
            <wp:effectExtent l="0" t="0" r="0" b="0"/>
            <wp:docPr id="1" name="Picture 2" descr="A picture containing text, decorated, painting,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picture containing text, decorated, painting, fabric&#10;&#10;Description automatically generated"/>
                    <pic:cNvPicPr>
                      <a:picLocks noChangeAspect="1" noChangeArrowheads="1"/>
                    </pic:cNvPicPr>
                  </pic:nvPicPr>
                  <pic:blipFill>
                    <a:blip r:embed="rId10"/>
                    <a:stretch>
                      <a:fillRect/>
                    </a:stretch>
                  </pic:blipFill>
                  <pic:spPr bwMode="auto">
                    <a:xfrm>
                      <a:off x="0" y="0"/>
                      <a:ext cx="2655570" cy="2352675"/>
                    </a:xfrm>
                    <a:prstGeom prst="rect">
                      <a:avLst/>
                    </a:prstGeom>
                  </pic:spPr>
                </pic:pic>
              </a:graphicData>
            </a:graphic>
          </wp:inline>
        </w:drawing>
      </w:r>
      <w:r>
        <w:rPr>
          <w:rFonts w:eastAsia="Times New Roman" w:cs="Times New Roman"/>
          <w:b/>
          <w:bCs/>
          <w:color w:val="000000"/>
        </w:rPr>
        <w:t xml:space="preserve">    </w:t>
      </w:r>
      <w:r>
        <w:rPr>
          <w:noProof/>
        </w:rPr>
        <w:drawing>
          <wp:inline distT="0" distB="0" distL="0" distR="0" wp14:anchorId="1149A05E" wp14:editId="5099E667">
            <wp:extent cx="2255520" cy="235013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1"/>
                    <a:stretch>
                      <a:fillRect/>
                    </a:stretch>
                  </pic:blipFill>
                  <pic:spPr bwMode="auto">
                    <a:xfrm>
                      <a:off x="0" y="0"/>
                      <a:ext cx="2255520" cy="2350135"/>
                    </a:xfrm>
                    <a:prstGeom prst="rect">
                      <a:avLst/>
                    </a:prstGeom>
                  </pic:spPr>
                </pic:pic>
              </a:graphicData>
            </a:graphic>
          </wp:inline>
        </w:drawing>
      </w:r>
    </w:p>
    <w:p w14:paraId="236EF087" w14:textId="77777777" w:rsidR="00A63A65" w:rsidRDefault="00000000">
      <w:pPr>
        <w:spacing w:line="480" w:lineRule="auto"/>
        <w:ind w:firstLine="630"/>
        <w:rPr>
          <w:rFonts w:eastAsia="Times New Roman" w:cs="Times New Roman"/>
          <w:i/>
          <w:iCs/>
          <w:color w:val="000000"/>
        </w:rPr>
      </w:pPr>
      <w:r>
        <w:rPr>
          <w:rFonts w:eastAsia="Times New Roman" w:cs="Times New Roman"/>
          <w:b/>
          <w:bCs/>
          <w:color w:val="000000"/>
        </w:rPr>
        <w:t xml:space="preserve">Fig. 1a. </w:t>
      </w:r>
      <w:r>
        <w:rPr>
          <w:rFonts w:eastAsia="Times New Roman" w:cs="Times New Roman"/>
          <w:color w:val="000000"/>
        </w:rPr>
        <w:t xml:space="preserve">Kṛṣṇarāja III wearing an </w:t>
      </w:r>
      <w:commentRangeStart w:id="75"/>
      <w:proofErr w:type="spellStart"/>
      <w:r>
        <w:rPr>
          <w:rFonts w:eastAsia="Times New Roman" w:cs="Times New Roman"/>
          <w:i/>
          <w:iCs/>
          <w:color w:val="000000"/>
        </w:rPr>
        <w:t>iṣṭaliṅga</w:t>
      </w:r>
      <w:commentRangeEnd w:id="75"/>
      <w:proofErr w:type="spellEnd"/>
      <w:r w:rsidR="0002225B">
        <w:rPr>
          <w:rStyle w:val="CommentReference"/>
        </w:rPr>
        <w:commentReference w:id="75"/>
      </w:r>
      <w:r>
        <w:rPr>
          <w:rFonts w:eastAsia="Times New Roman" w:cs="Times New Roman"/>
          <w:color w:val="000000"/>
        </w:rPr>
        <w:t xml:space="preserve">                </w:t>
      </w:r>
      <w:r>
        <w:rPr>
          <w:rFonts w:eastAsia="Times New Roman" w:cs="Times New Roman"/>
          <w:b/>
          <w:bCs/>
          <w:color w:val="000000"/>
        </w:rPr>
        <w:t xml:space="preserve">Fig. 1b. </w:t>
      </w:r>
      <w:r>
        <w:rPr>
          <w:rFonts w:eastAsia="Times New Roman" w:cs="Times New Roman"/>
          <w:color w:val="000000"/>
        </w:rPr>
        <w:t xml:space="preserve">Detail of </w:t>
      </w:r>
      <w:proofErr w:type="spellStart"/>
      <w:proofErr w:type="gramStart"/>
      <w:r>
        <w:rPr>
          <w:rFonts w:eastAsia="Times New Roman" w:cs="Times New Roman"/>
          <w:i/>
          <w:iCs/>
          <w:color w:val="000000"/>
        </w:rPr>
        <w:t>iṣṭaliṅga</w:t>
      </w:r>
      <w:proofErr w:type="spellEnd"/>
      <w:proofErr w:type="gramEnd"/>
    </w:p>
    <w:p w14:paraId="40389A77" w14:textId="4038411E" w:rsidR="009F32B8" w:rsidRPr="00320622" w:rsidRDefault="009F32B8" w:rsidP="00320622">
      <w:pPr>
        <w:spacing w:line="480" w:lineRule="auto"/>
        <w:jc w:val="center"/>
        <w:rPr>
          <w:rFonts w:eastAsia="Times New Roman" w:cs="Times New Roman"/>
          <w:color w:val="000000"/>
        </w:rPr>
      </w:pPr>
      <w:r>
        <w:rPr>
          <w:rFonts w:eastAsia="Times New Roman" w:cs="Times New Roman"/>
          <w:color w:val="000000"/>
        </w:rPr>
        <w:t>Government Museum, Bangalore. Photo by author with permission.</w:t>
      </w:r>
    </w:p>
    <w:p w14:paraId="720E294E" w14:textId="77777777" w:rsidR="00A63A65" w:rsidRDefault="00A63A65">
      <w:pPr>
        <w:spacing w:line="480" w:lineRule="auto"/>
        <w:jc w:val="center"/>
        <w:rPr>
          <w:rFonts w:eastAsia="Times New Roman" w:cs="Times New Roman"/>
          <w:color w:val="000000"/>
        </w:rPr>
      </w:pPr>
    </w:p>
    <w:p w14:paraId="2453935E" w14:textId="77777777" w:rsidR="00A63A65" w:rsidRDefault="00000000">
      <w:pPr>
        <w:spacing w:line="480" w:lineRule="auto"/>
        <w:jc w:val="center"/>
        <w:rPr>
          <w:rFonts w:eastAsia="Times New Roman" w:cs="Times New Roman"/>
          <w:color w:val="000000"/>
        </w:rPr>
      </w:pPr>
      <w:r>
        <w:rPr>
          <w:noProof/>
        </w:rPr>
        <w:drawing>
          <wp:inline distT="0" distB="0" distL="0" distR="0" wp14:anchorId="3B28D65C" wp14:editId="28B45234">
            <wp:extent cx="2650490" cy="2002790"/>
            <wp:effectExtent l="0" t="0" r="0" b="0"/>
            <wp:docPr id="3" name="Picture 1" descr="A picture containing text, old, posing,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text, old, posing, decorated&#10;&#10;Description automatically generated"/>
                    <pic:cNvPicPr>
                      <a:picLocks noChangeAspect="1" noChangeArrowheads="1"/>
                    </pic:cNvPicPr>
                  </pic:nvPicPr>
                  <pic:blipFill>
                    <a:blip r:embed="rId12"/>
                    <a:stretch>
                      <a:fillRect/>
                    </a:stretch>
                  </pic:blipFill>
                  <pic:spPr bwMode="auto">
                    <a:xfrm>
                      <a:off x="0" y="0"/>
                      <a:ext cx="2650490" cy="2002790"/>
                    </a:xfrm>
                    <a:prstGeom prst="rect">
                      <a:avLst/>
                    </a:prstGeom>
                  </pic:spPr>
                </pic:pic>
              </a:graphicData>
            </a:graphic>
          </wp:inline>
        </w:drawing>
      </w:r>
    </w:p>
    <w:p w14:paraId="354944B5" w14:textId="77777777" w:rsidR="00A63A65" w:rsidRDefault="00000000">
      <w:pPr>
        <w:spacing w:line="480" w:lineRule="auto"/>
        <w:jc w:val="center"/>
        <w:rPr>
          <w:rFonts w:eastAsia="Times New Roman" w:cs="Times New Roman"/>
          <w:i/>
          <w:iCs/>
          <w:color w:val="000000"/>
        </w:rPr>
      </w:pPr>
      <w:r>
        <w:rPr>
          <w:rFonts w:eastAsia="Times New Roman" w:cs="Times New Roman"/>
          <w:b/>
          <w:bCs/>
          <w:color w:val="000000"/>
        </w:rPr>
        <w:t xml:space="preserve">Fig. 2. </w:t>
      </w:r>
      <w:proofErr w:type="spellStart"/>
      <w:r>
        <w:rPr>
          <w:rFonts w:eastAsia="Times New Roman" w:cs="Times New Roman"/>
          <w:color w:val="000000"/>
        </w:rPr>
        <w:t>Kṛṣṇarāja</w:t>
      </w:r>
      <w:proofErr w:type="spellEnd"/>
      <w:r>
        <w:rPr>
          <w:rFonts w:eastAsia="Times New Roman" w:cs="Times New Roman"/>
          <w:color w:val="000000"/>
        </w:rPr>
        <w:t xml:space="preserve"> performing </w:t>
      </w:r>
      <w:proofErr w:type="spellStart"/>
      <w:r>
        <w:rPr>
          <w:rFonts w:eastAsia="Times New Roman" w:cs="Times New Roman"/>
          <w:i/>
          <w:iCs/>
          <w:color w:val="000000"/>
        </w:rPr>
        <w:t>iṣṭaliṅga</w:t>
      </w:r>
      <w:proofErr w:type="spellEnd"/>
      <w:r>
        <w:rPr>
          <w:rFonts w:eastAsia="Times New Roman" w:cs="Times New Roman"/>
          <w:i/>
          <w:iCs/>
          <w:color w:val="000000"/>
        </w:rPr>
        <w:t xml:space="preserve"> </w:t>
      </w:r>
      <w:proofErr w:type="spellStart"/>
      <w:proofErr w:type="gramStart"/>
      <w:r>
        <w:rPr>
          <w:rFonts w:eastAsia="Times New Roman" w:cs="Times New Roman"/>
          <w:i/>
          <w:iCs/>
          <w:color w:val="000000"/>
        </w:rPr>
        <w:t>puje</w:t>
      </w:r>
      <w:proofErr w:type="spellEnd"/>
      <w:proofErr w:type="gramEnd"/>
    </w:p>
    <w:p w14:paraId="312E393C" w14:textId="77777777" w:rsidR="009F32B8" w:rsidRPr="001A79FB" w:rsidRDefault="009F32B8" w:rsidP="009F32B8">
      <w:pPr>
        <w:spacing w:line="480" w:lineRule="auto"/>
        <w:jc w:val="center"/>
        <w:rPr>
          <w:rFonts w:eastAsia="Times New Roman" w:cs="Times New Roman"/>
          <w:color w:val="000000"/>
        </w:rPr>
      </w:pPr>
      <w:r>
        <w:rPr>
          <w:rFonts w:eastAsia="Times New Roman" w:cs="Times New Roman"/>
          <w:color w:val="000000"/>
        </w:rPr>
        <w:t>Government Museum, Bangalore. Photo by author with permission.</w:t>
      </w:r>
    </w:p>
    <w:p w14:paraId="7A380B7E" w14:textId="77777777" w:rsidR="009F32B8" w:rsidRDefault="009F32B8">
      <w:pPr>
        <w:spacing w:line="480" w:lineRule="auto"/>
        <w:jc w:val="center"/>
        <w:rPr>
          <w:rFonts w:eastAsia="Times New Roman" w:cs="Times New Roman"/>
          <w:i/>
          <w:iCs/>
          <w:color w:val="000000"/>
        </w:rPr>
      </w:pPr>
    </w:p>
    <w:p w14:paraId="56DD9923" w14:textId="77777777" w:rsidR="00A63A65" w:rsidRDefault="00A63A65">
      <w:pPr>
        <w:spacing w:line="480" w:lineRule="auto"/>
        <w:jc w:val="center"/>
        <w:rPr>
          <w:rFonts w:eastAsia="Times New Roman" w:cs="Times New Roman"/>
          <w:color w:val="000000"/>
        </w:rPr>
      </w:pPr>
    </w:p>
    <w:p w14:paraId="0E48B533" w14:textId="603E2340"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The bonds between </w:t>
      </w:r>
      <w:proofErr w:type="spellStart"/>
      <w:r>
        <w:rPr>
          <w:rFonts w:eastAsia="Times New Roman" w:cs="Times New Roman"/>
          <w:color w:val="000000"/>
        </w:rPr>
        <w:t>Kṛṣṇarāja</w:t>
      </w:r>
      <w:proofErr w:type="spellEnd"/>
      <w:r>
        <w:rPr>
          <w:rFonts w:eastAsia="Times New Roman" w:cs="Times New Roman"/>
          <w:color w:val="000000"/>
        </w:rPr>
        <w:t xml:space="preserve"> III and </w:t>
      </w:r>
      <w:proofErr w:type="spellStart"/>
      <w:r>
        <w:t>Vīraśaiva-</w:t>
      </w:r>
      <w:r w:rsidR="00BA1800">
        <w:t>Liṅgāyat</w:t>
      </w:r>
      <w:proofErr w:type="spellEnd"/>
      <w:r>
        <w:t xml:space="preserve"> community were further strengthened through the production and circulation of </w:t>
      </w:r>
      <w:r>
        <w:rPr>
          <w:rFonts w:eastAsia="Times New Roman" w:cs="Times New Roman"/>
          <w:color w:val="000000"/>
        </w:rPr>
        <w:t xml:space="preserve">portraits of the king, a common practice of the Mysore kings to display devotional preferences and alliances in early </w:t>
      </w:r>
      <w:r>
        <w:rPr>
          <w:rFonts w:eastAsia="Times New Roman" w:cs="Times New Roman"/>
          <w:color w:val="000000"/>
        </w:rPr>
        <w:lastRenderedPageBreak/>
        <w:t xml:space="preserve">modern and colonial </w:t>
      </w:r>
      <w:r w:rsidR="009F32B8">
        <w:rPr>
          <w:rFonts w:eastAsia="Times New Roman" w:cs="Times New Roman"/>
          <w:color w:val="000000"/>
        </w:rPr>
        <w:t xml:space="preserve">period </w:t>
      </w:r>
      <w:r>
        <w:rPr>
          <w:rFonts w:eastAsia="Times New Roman" w:cs="Times New Roman"/>
          <w:color w:val="000000"/>
        </w:rPr>
        <w:t xml:space="preserve">(Simmons </w:t>
      </w:r>
      <w:commentRangeStart w:id="76"/>
      <w:r w:rsidR="009F32B8">
        <w:rPr>
          <w:rFonts w:eastAsia="Times New Roman" w:cs="Times New Roman"/>
          <w:color w:val="000000"/>
        </w:rPr>
        <w:t>2020</w:t>
      </w:r>
      <w:r>
        <w:rPr>
          <w:rFonts w:eastAsia="Times New Roman" w:cs="Times New Roman"/>
          <w:color w:val="000000"/>
        </w:rPr>
        <w:t xml:space="preserve">). </w:t>
      </w:r>
      <w:commentRangeEnd w:id="76"/>
      <w:r w:rsidR="0033702F">
        <w:rPr>
          <w:rStyle w:val="CommentReference"/>
        </w:rPr>
        <w:commentReference w:id="76"/>
      </w:r>
      <w:r w:rsidR="009F32B8" w:rsidRPr="009F32B8">
        <w:rPr>
          <w:rFonts w:eastAsia="Times New Roman" w:cs="Times New Roman"/>
          <w:color w:val="000000"/>
        </w:rPr>
        <w:t xml:space="preserve"> </w:t>
      </w:r>
      <w:proofErr w:type="spellStart"/>
      <w:r w:rsidR="009F32B8">
        <w:rPr>
          <w:rFonts w:eastAsia="Times New Roman" w:cs="Times New Roman"/>
          <w:color w:val="000000"/>
        </w:rPr>
        <w:t>Kṛṣṇarāja</w:t>
      </w:r>
      <w:proofErr w:type="spellEnd"/>
      <w:r w:rsidR="009F32B8">
        <w:rPr>
          <w:rFonts w:eastAsia="Times New Roman" w:cs="Times New Roman"/>
          <w:color w:val="000000"/>
        </w:rPr>
        <w:t xml:space="preserve"> III</w:t>
      </w:r>
      <w:r w:rsidR="009F32B8">
        <w:rPr>
          <w:rFonts w:eastAsia="Times New Roman" w:cs="Times New Roman"/>
          <w:color w:val="000000"/>
        </w:rPr>
        <w:t>’s devotional imagery was far more extensive than his predecessors, including paintings and prints</w:t>
      </w:r>
      <w:r w:rsidR="00A71317">
        <w:rPr>
          <w:rFonts w:eastAsia="Times New Roman" w:cs="Times New Roman"/>
          <w:color w:val="000000"/>
        </w:rPr>
        <w:t>, ranging from large murals to frontispieces of mass-produced books,</w:t>
      </w:r>
      <w:r w:rsidR="009F32B8">
        <w:rPr>
          <w:rFonts w:eastAsia="Times New Roman" w:cs="Times New Roman"/>
          <w:color w:val="000000"/>
        </w:rPr>
        <w:t xml:space="preserve"> of the king conducting rituals that </w:t>
      </w:r>
      <w:r w:rsidR="00A71317">
        <w:rPr>
          <w:rFonts w:eastAsia="Times New Roman" w:cs="Times New Roman"/>
          <w:color w:val="000000"/>
        </w:rPr>
        <w:t xml:space="preserve">were circulated throughout his kingdom and abroad. </w:t>
      </w:r>
      <w:r>
        <w:rPr>
          <w:rFonts w:eastAsia="Times New Roman" w:cs="Times New Roman"/>
          <w:color w:val="000000"/>
        </w:rPr>
        <w:t xml:space="preserve">While most of the devotional images of Kṛṣṇarāja III focused on the goddess </w:t>
      </w:r>
      <w:proofErr w:type="spellStart"/>
      <w:r>
        <w:rPr>
          <w:rFonts w:eastAsia="Times New Roman" w:cs="Times New Roman"/>
          <w:color w:val="000000"/>
        </w:rPr>
        <w:t>Cāmuṇḍēśvari</w:t>
      </w:r>
      <w:proofErr w:type="spellEnd"/>
      <w:r>
        <w:rPr>
          <w:rFonts w:eastAsia="Times New Roman" w:cs="Times New Roman"/>
          <w:color w:val="000000"/>
        </w:rPr>
        <w:t xml:space="preserve"> or </w:t>
      </w:r>
      <w:proofErr w:type="spellStart"/>
      <w:r>
        <w:rPr>
          <w:rFonts w:eastAsia="Times New Roman" w:cs="Times New Roman"/>
          <w:color w:val="000000"/>
        </w:rPr>
        <w:t>Śrī</w:t>
      </w:r>
      <w:proofErr w:type="spellEnd"/>
      <w:r>
        <w:rPr>
          <w:rFonts w:eastAsia="Times New Roman" w:cs="Times New Roman"/>
          <w:color w:val="000000"/>
        </w:rPr>
        <w:t xml:space="preserve"> </w:t>
      </w:r>
      <w:proofErr w:type="spellStart"/>
      <w:r>
        <w:rPr>
          <w:rFonts w:eastAsia="Times New Roman" w:cs="Times New Roman"/>
          <w:color w:val="000000"/>
        </w:rPr>
        <w:t>Vaiṣṇava</w:t>
      </w:r>
      <w:proofErr w:type="spellEnd"/>
      <w:r>
        <w:rPr>
          <w:rFonts w:eastAsia="Times New Roman" w:cs="Times New Roman"/>
          <w:color w:val="000000"/>
        </w:rPr>
        <w:t xml:space="preserve"> practice, several extant portraits portray the king wearing the outward signs of </w:t>
      </w:r>
      <w:proofErr w:type="spellStart"/>
      <w:r>
        <w:t>Vīraśaiva-</w:t>
      </w:r>
      <w:r w:rsidR="00BA1800">
        <w:t>Liṅgāyat</w:t>
      </w:r>
      <w:proofErr w:type="spellEnd"/>
      <w:r>
        <w:t xml:space="preserve"> devotion, a personal </w:t>
      </w:r>
      <w:proofErr w:type="spellStart"/>
      <w:r>
        <w:rPr>
          <w:i/>
          <w:iCs/>
        </w:rPr>
        <w:t>iṣṭaliṅga</w:t>
      </w:r>
      <w:proofErr w:type="spellEnd"/>
      <w:r>
        <w:rPr>
          <w:i/>
          <w:iCs/>
        </w:rPr>
        <w:t xml:space="preserve"> </w:t>
      </w:r>
      <w:r>
        <w:t>(</w:t>
      </w:r>
      <w:r>
        <w:rPr>
          <w:b/>
          <w:bCs/>
        </w:rPr>
        <w:t>Figure 1</w:t>
      </w:r>
      <w:r>
        <w:t>),</w:t>
      </w:r>
      <w:r>
        <w:rPr>
          <w:i/>
          <w:iCs/>
        </w:rPr>
        <w:t xml:space="preserve"> </w:t>
      </w:r>
      <w:r>
        <w:t xml:space="preserve">and </w:t>
      </w:r>
      <w:r>
        <w:rPr>
          <w:rFonts w:eastAsia="Times New Roman" w:cs="Times New Roman"/>
          <w:color w:val="000000"/>
        </w:rPr>
        <w:t xml:space="preserve">conducting </w:t>
      </w:r>
      <w:proofErr w:type="spellStart"/>
      <w:r>
        <w:t>Vīraśaiva-</w:t>
      </w:r>
      <w:r w:rsidR="00BA1800">
        <w:t>Liṅgāyat</w:t>
      </w:r>
      <w:proofErr w:type="spellEnd"/>
      <w:r>
        <w:t xml:space="preserve"> </w:t>
      </w:r>
      <w:r>
        <w:rPr>
          <w:rFonts w:eastAsia="Times New Roman" w:cs="Times New Roman"/>
          <w:color w:val="000000"/>
        </w:rPr>
        <w:t xml:space="preserve">ritual to his personal </w:t>
      </w:r>
      <w:proofErr w:type="spellStart"/>
      <w:r>
        <w:rPr>
          <w:rFonts w:eastAsia="Times New Roman" w:cs="Times New Roman"/>
          <w:i/>
          <w:iCs/>
          <w:color w:val="000000"/>
        </w:rPr>
        <w:t>liṅga</w:t>
      </w:r>
      <w:proofErr w:type="spellEnd"/>
      <w:r>
        <w:rPr>
          <w:rFonts w:eastAsia="Times New Roman" w:cs="Times New Roman"/>
          <w:i/>
          <w:iCs/>
          <w:color w:val="000000"/>
        </w:rPr>
        <w:t xml:space="preserve"> </w:t>
      </w:r>
      <w:r>
        <w:rPr>
          <w:rFonts w:eastAsia="Times New Roman" w:cs="Times New Roman"/>
          <w:color w:val="000000"/>
        </w:rPr>
        <w:t>(</w:t>
      </w:r>
      <w:r>
        <w:rPr>
          <w:rFonts w:eastAsia="Times New Roman" w:cs="Times New Roman"/>
          <w:b/>
          <w:bCs/>
          <w:color w:val="000000"/>
        </w:rPr>
        <w:t>Figure 2</w:t>
      </w:r>
      <w:r>
        <w:rPr>
          <w:rFonts w:eastAsia="Times New Roman" w:cs="Times New Roman"/>
          <w:color w:val="000000"/>
        </w:rPr>
        <w:t>).</w:t>
      </w:r>
      <w:commentRangeStart w:id="77"/>
      <w:commentRangeEnd w:id="77"/>
      <w:r>
        <w:rPr>
          <w:rFonts w:eastAsia="Times New Roman" w:cs="Times New Roman"/>
          <w:color w:val="000000"/>
        </w:rPr>
        <w:commentReference w:id="77"/>
      </w:r>
      <w:r>
        <w:rPr>
          <w:rFonts w:eastAsia="Times New Roman" w:cs="Times New Roman"/>
          <w:color w:val="000000"/>
        </w:rPr>
        <w:t xml:space="preserve"> Through this display of his pious practice </w:t>
      </w:r>
      <w:proofErr w:type="spellStart"/>
      <w:r>
        <w:rPr>
          <w:rFonts w:eastAsia="Times New Roman" w:cs="Times New Roman"/>
          <w:color w:val="000000"/>
        </w:rPr>
        <w:t>Kṛṣṇarāja</w:t>
      </w:r>
      <w:proofErr w:type="spellEnd"/>
      <w:r>
        <w:rPr>
          <w:rFonts w:eastAsia="Times New Roman" w:cs="Times New Roman"/>
          <w:color w:val="000000"/>
        </w:rPr>
        <w:t xml:space="preserve"> III incorporated the </w:t>
      </w:r>
      <w:proofErr w:type="spellStart"/>
      <w:r>
        <w:t>Vīraśaiva-</w:t>
      </w:r>
      <w:r w:rsidR="00BA1800">
        <w:t>Liṅgāyat</w:t>
      </w:r>
      <w:proofErr w:type="spellEnd"/>
      <w:r w:rsidR="00A71317">
        <w:t xml:space="preserve"> practice within the royal ritual repertoire</w:t>
      </w:r>
      <w:r>
        <w:t xml:space="preserve">, projecting his new persona as </w:t>
      </w:r>
      <w:commentRangeStart w:id="78"/>
      <w:r>
        <w:t>the</w:t>
      </w:r>
      <w:r>
        <w:rPr>
          <w:i/>
          <w:iCs/>
        </w:rPr>
        <w:t xml:space="preserve"> </w:t>
      </w:r>
      <w:r>
        <w:t xml:space="preserve">Hindu king </w:t>
      </w:r>
      <w:commentRangeEnd w:id="78"/>
      <w:r w:rsidR="00935BEE">
        <w:rPr>
          <w:rStyle w:val="CommentReference"/>
        </w:rPr>
        <w:commentReference w:id="78"/>
      </w:r>
      <w:r>
        <w:t xml:space="preserve">and the king for all Hindus for both his subjects and his British overlords, regardless of whether or not </w:t>
      </w:r>
      <w:proofErr w:type="spellStart"/>
      <w:r>
        <w:t>Vīraśaiva-</w:t>
      </w:r>
      <w:r w:rsidR="00BA1800">
        <w:t>Liṅgāyat</w:t>
      </w:r>
      <w:r>
        <w:t>s</w:t>
      </w:r>
      <w:proofErr w:type="spellEnd"/>
      <w:r>
        <w:t xml:space="preserve"> considered themselves to be part of his Hindu fold</w:t>
      </w:r>
      <w:r w:rsidR="00A71317">
        <w:t xml:space="preserve"> (see Simmons 2020)</w:t>
      </w:r>
      <w:r>
        <w:t xml:space="preserve">. </w:t>
      </w:r>
    </w:p>
    <w:p w14:paraId="165C2512" w14:textId="77777777" w:rsidR="00A63A65" w:rsidRDefault="00A63A65">
      <w:pPr>
        <w:spacing w:line="480" w:lineRule="auto"/>
        <w:jc w:val="center"/>
        <w:rPr>
          <w:rFonts w:eastAsia="Times New Roman" w:cs="Times New Roman"/>
          <w:b/>
          <w:bCs/>
          <w:color w:val="000000"/>
        </w:rPr>
      </w:pPr>
    </w:p>
    <w:p w14:paraId="6806D836" w14:textId="77777777" w:rsidR="00A63A65" w:rsidRDefault="00000000">
      <w:pPr>
        <w:spacing w:line="480" w:lineRule="auto"/>
        <w:rPr>
          <w:rFonts w:eastAsia="Times New Roman" w:cs="Times New Roman"/>
          <w:b/>
          <w:bCs/>
          <w:color w:val="000000"/>
        </w:rPr>
      </w:pPr>
      <w:r>
        <w:rPr>
          <w:rFonts w:eastAsia="Times New Roman" w:cs="Times New Roman"/>
          <w:b/>
          <w:bCs/>
          <w:color w:val="000000"/>
        </w:rPr>
        <w:t>Conclusion</w:t>
      </w:r>
    </w:p>
    <w:p w14:paraId="69A1840E" w14:textId="4D701F81"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Through these two case studies, I have attempted to shed light on the construction of </w:t>
      </w:r>
      <w:proofErr w:type="spellStart"/>
      <w:r>
        <w:t>Vīraśaiva-</w:t>
      </w:r>
      <w:r w:rsidR="00BA1800">
        <w:t>Liṅgāyat</w:t>
      </w:r>
      <w:proofErr w:type="spellEnd"/>
      <w:r>
        <w:t xml:space="preserve"> </w:t>
      </w:r>
      <w:r>
        <w:rPr>
          <w:rFonts w:eastAsia="Times New Roman" w:cs="Times New Roman"/>
          <w:color w:val="000000"/>
        </w:rPr>
        <w:t>identity vis-à-vis political authority and structures within early modern and colonial Mysore to provide us with an opportunity to think about external factors th</w:t>
      </w:r>
      <w:r w:rsidR="0021526B">
        <w:rPr>
          <w:rFonts w:eastAsia="Times New Roman" w:cs="Times New Roman"/>
          <w:color w:val="000000"/>
        </w:rPr>
        <w:t>at</w:t>
      </w:r>
      <w:r>
        <w:rPr>
          <w:rFonts w:eastAsia="Times New Roman" w:cs="Times New Roman"/>
          <w:color w:val="000000"/>
        </w:rPr>
        <w:t xml:space="preserve"> shape religious identities. The inclusion or exclusion of a religious tradition—in our case the exclusion of the </w:t>
      </w:r>
      <w:proofErr w:type="spellStart"/>
      <w:r>
        <w:t>Vīraśaiva-</w:t>
      </w:r>
      <w:r w:rsidR="00BA1800">
        <w:t>Liṅgāyat</w:t>
      </w:r>
      <w:proofErr w:type="spellEnd"/>
      <w:r>
        <w:t xml:space="preserve"> </w:t>
      </w:r>
      <w:r>
        <w:rPr>
          <w:rFonts w:eastAsia="Times New Roman" w:cs="Times New Roman"/>
          <w:color w:val="000000"/>
        </w:rPr>
        <w:t xml:space="preserve">tradition from the allegedly pluralistic court of Cikkadēvarāja and its inclusion within the “Hindu” court of Kṛṣṇarāja III—and, therefore, the determination of one’s religious identity has a history of being a contentious topic in the political arena. Exclusion and inclusion, </w:t>
      </w:r>
      <w:proofErr w:type="gramStart"/>
      <w:r>
        <w:rPr>
          <w:rFonts w:eastAsia="Times New Roman" w:cs="Times New Roman"/>
          <w:color w:val="000000"/>
        </w:rPr>
        <w:t>othering</w:t>
      </w:r>
      <w:proofErr w:type="gramEnd"/>
      <w:r>
        <w:rPr>
          <w:rFonts w:eastAsia="Times New Roman" w:cs="Times New Roman"/>
          <w:color w:val="000000"/>
        </w:rPr>
        <w:t xml:space="preserve"> and appropriation, are not simply unidirectional or macro-level processes; instead, they are dynamic and fluid </w:t>
      </w:r>
      <w:r>
        <w:rPr>
          <w:rFonts w:eastAsia="Times New Roman" w:cs="Times New Roman"/>
          <w:color w:val="000000"/>
        </w:rPr>
        <w:lastRenderedPageBreak/>
        <w:t xml:space="preserve">positions that change in response to a variety of stimuli. Additionally, the construction of religious identity is often beyond the purview of the tradition itself, but it is shaped, and often mandated, from the outside. </w:t>
      </w:r>
    </w:p>
    <w:p w14:paraId="7453F143" w14:textId="1AB0A3A9" w:rsidR="00A63A65" w:rsidRDefault="00000000">
      <w:pPr>
        <w:spacing w:line="480" w:lineRule="auto"/>
        <w:ind w:firstLine="720"/>
        <w:rPr>
          <w:rFonts w:eastAsia="Times New Roman" w:cs="Times New Roman"/>
          <w:color w:val="000000"/>
        </w:rPr>
      </w:pPr>
      <w:r>
        <w:rPr>
          <w:rFonts w:eastAsia="Times New Roman" w:cs="Times New Roman"/>
          <w:color w:val="000000"/>
        </w:rPr>
        <w:t xml:space="preserve">Returning to the framing mechanism of contemporary </w:t>
      </w:r>
      <w:proofErr w:type="spellStart"/>
      <w:r>
        <w:t>Liṅgāyatism</w:t>
      </w:r>
      <w:proofErr w:type="spellEnd"/>
      <w:r>
        <w:t xml:space="preserve">, this history allows us to see continuity and fracture with the past. As alluded to above, </w:t>
      </w:r>
      <w:proofErr w:type="spellStart"/>
      <w:r w:rsidR="00BA1800">
        <w:t>Liṅgāyat</w:t>
      </w:r>
      <w:r>
        <w:t>s</w:t>
      </w:r>
      <w:proofErr w:type="spellEnd"/>
      <w:r>
        <w:t xml:space="preserve"> began their movement to be considered a separate religion in the 1920s. This movement too was not without external factors. If </w:t>
      </w:r>
      <w:proofErr w:type="spellStart"/>
      <w:r>
        <w:t>Liṅgāyatism</w:t>
      </w:r>
      <w:proofErr w:type="spellEnd"/>
      <w:r>
        <w:t xml:space="preserve"> were recognized as a religion distinct from Hinduism, its practitioners would be afforded the rights of minority religions.</w:t>
      </w:r>
      <w:commentRangeStart w:id="79"/>
      <w:commentRangeEnd w:id="79"/>
      <w:r>
        <w:commentReference w:id="79"/>
      </w:r>
      <w:r>
        <w:t xml:space="preserve"> This movement, however, has never been entirely representative of the </w:t>
      </w:r>
      <w:proofErr w:type="spellStart"/>
      <w:r w:rsidR="00BA1800">
        <w:t>Liṅgāyat</w:t>
      </w:r>
      <w:proofErr w:type="spellEnd"/>
      <w:r>
        <w:t xml:space="preserve"> </w:t>
      </w:r>
      <w:proofErr w:type="gramStart"/>
      <w:r>
        <w:t>community as a whole, which</w:t>
      </w:r>
      <w:proofErr w:type="gramEnd"/>
      <w:r>
        <w:t xml:space="preserve"> like most religious traditions is not monolithic or heterogeneous. Over the decades since Independence, the majority </w:t>
      </w:r>
      <w:proofErr w:type="spellStart"/>
      <w:r w:rsidR="00BA1800">
        <w:t>Liṅgāyat</w:t>
      </w:r>
      <w:proofErr w:type="spellEnd"/>
      <w:r>
        <w:t xml:space="preserve"> political alliance has shifted between different political parties, often gravitating toward Hindu nationalist positions. Indeed, in the aftermath of Siddaramaiah’s decision, prominent </w:t>
      </w:r>
      <w:proofErr w:type="gramStart"/>
      <w:r>
        <w:t>leaders</w:t>
      </w:r>
      <w:proofErr w:type="gramEnd"/>
      <w:r>
        <w:t xml:space="preserve"> and heads of </w:t>
      </w:r>
      <w:proofErr w:type="spellStart"/>
      <w:r>
        <w:t>Vīraśaiva-</w:t>
      </w:r>
      <w:r w:rsidR="00BA1800">
        <w:t>Liṅgāyat</w:t>
      </w:r>
      <w:proofErr w:type="spellEnd"/>
      <w:r>
        <w:t xml:space="preserve"> </w:t>
      </w:r>
      <w:proofErr w:type="spellStart"/>
      <w:r>
        <w:rPr>
          <w:i/>
          <w:iCs/>
        </w:rPr>
        <w:t>maṭha</w:t>
      </w:r>
      <w:r w:rsidRPr="00320622">
        <w:t>s</w:t>
      </w:r>
      <w:proofErr w:type="spellEnd"/>
      <w:r>
        <w:t xml:space="preserve"> came together to pass a resolution against the government’s decision.</w:t>
      </w:r>
      <w:commentRangeStart w:id="80"/>
      <w:commentRangeEnd w:id="80"/>
      <w:r>
        <w:commentReference w:id="80"/>
      </w:r>
      <w:r>
        <w:t xml:space="preserve"> Even the decision about </w:t>
      </w:r>
      <w:proofErr w:type="spellStart"/>
      <w:r w:rsidR="00BA1800">
        <w:t>Liṅgāyat</w:t>
      </w:r>
      <w:proofErr w:type="spellEnd"/>
      <w:r>
        <w:t xml:space="preserve"> identity led to accusations from prominent </w:t>
      </w:r>
      <w:proofErr w:type="spellStart"/>
      <w:r w:rsidR="00BA1800">
        <w:t>Liṅgāyat</w:t>
      </w:r>
      <w:r>
        <w:t>s</w:t>
      </w:r>
      <w:proofErr w:type="spellEnd"/>
      <w:r>
        <w:t xml:space="preserve"> that the Congress Party was attempting to divide the Hindu community (</w:t>
      </w:r>
      <w:proofErr w:type="spellStart"/>
      <w:r>
        <w:t>Shivasundar</w:t>
      </w:r>
      <w:proofErr w:type="spellEnd"/>
      <w:r>
        <w:t xml:space="preserve"> 2023). Congress eventually lost the election, including in </w:t>
      </w:r>
      <w:proofErr w:type="spellStart"/>
      <w:r w:rsidR="00BA1800">
        <w:t>Liṅgāyat</w:t>
      </w:r>
      <w:proofErr w:type="spellEnd"/>
      <w:r>
        <w:t xml:space="preserve">-dominated regions, and Siddaramaiah lost as </w:t>
      </w:r>
      <w:r w:rsidR="00513831">
        <w:t>c</w:t>
      </w:r>
      <w:r>
        <w:t xml:space="preserve">hief </w:t>
      </w:r>
      <w:r w:rsidR="00513831">
        <w:t>m</w:t>
      </w:r>
      <w:r>
        <w:t xml:space="preserve">inister of Karnataka. This conclusion is not intended to tread into the territory of analyzing contemporary politics. Certainly, as the postscript to Siddaramaiah’s 2018 decision about </w:t>
      </w:r>
      <w:proofErr w:type="spellStart"/>
      <w:r>
        <w:t>Liṅgāyatism</w:t>
      </w:r>
      <w:proofErr w:type="spellEnd"/>
      <w:r>
        <w:t xml:space="preserve"> demonstrates, </w:t>
      </w:r>
      <w:r w:rsidR="00A71317">
        <w:t xml:space="preserve">the identity of </w:t>
      </w:r>
      <w:proofErr w:type="spellStart"/>
      <w:r w:rsidR="00A71317">
        <w:t>Vīraśaiva-Liṅgāyat</w:t>
      </w:r>
      <w:r w:rsidR="00A71317">
        <w:t>’s</w:t>
      </w:r>
      <w:proofErr w:type="spellEnd"/>
      <w:r>
        <w:t xml:space="preserve"> and its inclusion and exclusion</w:t>
      </w:r>
      <w:r w:rsidR="00A71317">
        <w:t xml:space="preserve"> is still an ongoing discussion</w:t>
      </w:r>
      <w:r>
        <w:t>.</w:t>
      </w:r>
      <w:commentRangeStart w:id="81"/>
      <w:commentRangeEnd w:id="81"/>
      <w:r>
        <w:commentReference w:id="81"/>
      </w:r>
      <w:r>
        <w:t xml:space="preserve"> The history of </w:t>
      </w:r>
      <w:proofErr w:type="spellStart"/>
      <w:r>
        <w:t>Vīraśaiva-Liṅgāyatism’s</w:t>
      </w:r>
      <w:proofErr w:type="spellEnd"/>
      <w:r>
        <w:t xml:space="preserve"> role in the court of Mysore, however, can help us to understand the complex historical and cultural context that shape contemporary politics and debates and </w:t>
      </w:r>
      <w:r>
        <w:lastRenderedPageBreak/>
        <w:t>help us to better understand the role political expediency play in the shaping of religions and religious identity.</w:t>
      </w:r>
    </w:p>
    <w:p w14:paraId="535B91EC" w14:textId="77777777" w:rsidR="00A63A65" w:rsidRDefault="00A63A65">
      <w:pPr>
        <w:spacing w:line="480" w:lineRule="auto"/>
        <w:ind w:firstLine="720"/>
        <w:rPr>
          <w:rFonts w:eastAsia="Times New Roman" w:cs="Times New Roman"/>
          <w:color w:val="000000"/>
        </w:rPr>
      </w:pPr>
    </w:p>
    <w:p w14:paraId="7AF9EADD" w14:textId="77777777" w:rsidR="00A63A65" w:rsidRDefault="00000000">
      <w:pPr>
        <w:spacing w:line="480" w:lineRule="auto"/>
        <w:ind w:left="720" w:hanging="720"/>
        <w:rPr>
          <w:rFonts w:eastAsia="Times New Roman" w:cs="Times New Roman"/>
          <w:b/>
          <w:bCs/>
          <w:color w:val="000000"/>
        </w:rPr>
      </w:pPr>
      <w:r>
        <w:rPr>
          <w:rFonts w:eastAsia="Times New Roman" w:cs="Times New Roman"/>
          <w:b/>
          <w:bCs/>
          <w:color w:val="000000"/>
        </w:rPr>
        <w:t>References</w:t>
      </w:r>
    </w:p>
    <w:p w14:paraId="60B42236" w14:textId="1AB4F9F9" w:rsidR="00A63A65" w:rsidRDefault="00000000">
      <w:pPr>
        <w:spacing w:line="480" w:lineRule="auto"/>
        <w:ind w:left="720" w:hanging="720"/>
        <w:rPr>
          <w:rFonts w:eastAsia="Times New Roman" w:cs="Times New Roman"/>
          <w:color w:val="000000"/>
        </w:rPr>
      </w:pPr>
      <w:proofErr w:type="spellStart"/>
      <w:r>
        <w:rPr>
          <w:rFonts w:eastAsia="Times New Roman" w:cs="Times New Roman"/>
          <w:color w:val="000000"/>
        </w:rPr>
        <w:t>Bétrand</w:t>
      </w:r>
      <w:proofErr w:type="spellEnd"/>
      <w:r>
        <w:rPr>
          <w:rFonts w:eastAsia="Times New Roman" w:cs="Times New Roman"/>
          <w:color w:val="000000"/>
        </w:rPr>
        <w:t xml:space="preserve">, P.J. 1850. </w:t>
      </w:r>
      <w:r>
        <w:rPr>
          <w:rFonts w:eastAsia="Times New Roman" w:cs="Times New Roman"/>
          <w:i/>
          <w:iCs/>
          <w:color w:val="000000"/>
        </w:rPr>
        <w:t xml:space="preserve">La Mission </w:t>
      </w:r>
      <w:r w:rsidR="00A71317">
        <w:rPr>
          <w:rFonts w:eastAsia="Times New Roman" w:cs="Times New Roman"/>
          <w:i/>
          <w:iCs/>
          <w:color w:val="000000"/>
        </w:rPr>
        <w:t>d</w:t>
      </w:r>
      <w:commentRangeStart w:id="82"/>
      <w:r>
        <w:rPr>
          <w:rFonts w:eastAsia="Times New Roman" w:cs="Times New Roman"/>
          <w:i/>
          <w:iCs/>
          <w:color w:val="000000"/>
        </w:rPr>
        <w:t>u</w:t>
      </w:r>
      <w:commentRangeEnd w:id="82"/>
      <w:r w:rsidR="00AB2CB1">
        <w:rPr>
          <w:rStyle w:val="CommentReference"/>
        </w:rPr>
        <w:commentReference w:id="82"/>
      </w:r>
      <w:r>
        <w:rPr>
          <w:rFonts w:eastAsia="Times New Roman" w:cs="Times New Roman"/>
          <w:i/>
          <w:iCs/>
          <w:color w:val="000000"/>
        </w:rPr>
        <w:t xml:space="preserve"> </w:t>
      </w:r>
      <w:proofErr w:type="spellStart"/>
      <w:r>
        <w:rPr>
          <w:rFonts w:eastAsia="Times New Roman" w:cs="Times New Roman"/>
          <w:i/>
          <w:iCs/>
          <w:color w:val="000000"/>
        </w:rPr>
        <w:t>Maduré</w:t>
      </w:r>
      <w:proofErr w:type="spellEnd"/>
      <w:r>
        <w:rPr>
          <w:rFonts w:eastAsia="Times New Roman" w:cs="Times New Roman"/>
          <w:i/>
          <w:iCs/>
          <w:color w:val="000000"/>
        </w:rPr>
        <w:t xml:space="preserve">: </w:t>
      </w:r>
      <w:proofErr w:type="spellStart"/>
      <w:r>
        <w:rPr>
          <w:rFonts w:eastAsia="Times New Roman" w:cs="Times New Roman"/>
          <w:i/>
          <w:iCs/>
          <w:color w:val="000000"/>
        </w:rPr>
        <w:t>d’Après</w:t>
      </w:r>
      <w:proofErr w:type="spellEnd"/>
      <w:r>
        <w:rPr>
          <w:rFonts w:eastAsia="Times New Roman" w:cs="Times New Roman"/>
          <w:i/>
          <w:iCs/>
          <w:color w:val="000000"/>
        </w:rPr>
        <w:t xml:space="preserve"> </w:t>
      </w:r>
      <w:r w:rsidR="00A71317">
        <w:rPr>
          <w:rFonts w:eastAsia="Times New Roman" w:cs="Times New Roman"/>
          <w:i/>
          <w:iCs/>
          <w:color w:val="000000"/>
        </w:rPr>
        <w:t>d</w:t>
      </w:r>
      <w:r>
        <w:rPr>
          <w:rFonts w:eastAsia="Times New Roman" w:cs="Times New Roman"/>
          <w:i/>
          <w:iCs/>
          <w:color w:val="000000"/>
        </w:rPr>
        <w:t xml:space="preserve">es Documents </w:t>
      </w:r>
      <w:proofErr w:type="spellStart"/>
      <w:r>
        <w:rPr>
          <w:rFonts w:eastAsia="Times New Roman" w:cs="Times New Roman"/>
          <w:i/>
          <w:iCs/>
          <w:color w:val="000000"/>
        </w:rPr>
        <w:t>Inédits</w:t>
      </w:r>
      <w:proofErr w:type="spellEnd"/>
      <w:r>
        <w:rPr>
          <w:rFonts w:eastAsia="Times New Roman" w:cs="Times New Roman"/>
          <w:i/>
          <w:iCs/>
          <w:color w:val="000000"/>
        </w:rPr>
        <w:t>.</w:t>
      </w:r>
      <w:r>
        <w:rPr>
          <w:rFonts w:eastAsia="Times New Roman" w:cs="Times New Roman"/>
          <w:color w:val="000000"/>
        </w:rPr>
        <w:t xml:space="preserve"> Volume III. Paris: </w:t>
      </w:r>
      <w:proofErr w:type="spellStart"/>
      <w:r>
        <w:rPr>
          <w:rFonts w:eastAsia="Times New Roman" w:cs="Times New Roman"/>
          <w:color w:val="000000"/>
        </w:rPr>
        <w:t>Librairie</w:t>
      </w:r>
      <w:proofErr w:type="spellEnd"/>
      <w:r>
        <w:rPr>
          <w:rFonts w:eastAsia="Times New Roman" w:cs="Times New Roman"/>
          <w:color w:val="000000"/>
        </w:rPr>
        <w:t xml:space="preserve"> de </w:t>
      </w:r>
      <w:proofErr w:type="spellStart"/>
      <w:r>
        <w:rPr>
          <w:rFonts w:eastAsia="Times New Roman" w:cs="Times New Roman"/>
          <w:color w:val="000000"/>
        </w:rPr>
        <w:t>Poussielgue-Rusand</w:t>
      </w:r>
      <w:proofErr w:type="spellEnd"/>
      <w:r>
        <w:rPr>
          <w:rFonts w:eastAsia="Times New Roman" w:cs="Times New Roman"/>
          <w:color w:val="000000"/>
        </w:rPr>
        <w:t>.</w:t>
      </w:r>
    </w:p>
    <w:p w14:paraId="79914A41" w14:textId="77777777" w:rsidR="00A63A65" w:rsidRDefault="00000000">
      <w:pPr>
        <w:spacing w:line="480" w:lineRule="auto"/>
        <w:ind w:left="720" w:hanging="720"/>
        <w:rPr>
          <w:rFonts w:eastAsia="Times New Roman" w:cs="Times New Roman"/>
          <w:color w:val="000000"/>
        </w:rPr>
      </w:pPr>
      <w:proofErr w:type="spellStart"/>
      <w:r>
        <w:rPr>
          <w:rFonts w:eastAsia="Times New Roman" w:cs="Times New Roman"/>
          <w:color w:val="000000"/>
        </w:rPr>
        <w:t>Boyarin</w:t>
      </w:r>
      <w:proofErr w:type="spellEnd"/>
      <w:r>
        <w:rPr>
          <w:rFonts w:eastAsia="Times New Roman" w:cs="Times New Roman"/>
          <w:color w:val="000000"/>
        </w:rPr>
        <w:t xml:space="preserve">, Daniel. 2004. </w:t>
      </w:r>
      <w:r>
        <w:rPr>
          <w:rFonts w:eastAsia="Times New Roman" w:cs="Times New Roman"/>
          <w:i/>
          <w:iCs/>
          <w:color w:val="000000"/>
        </w:rPr>
        <w:t xml:space="preserve">Border Lines: The Partition of </w:t>
      </w:r>
      <w:proofErr w:type="spellStart"/>
      <w:r>
        <w:rPr>
          <w:rFonts w:eastAsia="Times New Roman" w:cs="Times New Roman"/>
          <w:i/>
          <w:iCs/>
          <w:color w:val="000000"/>
        </w:rPr>
        <w:t>Judaeo</w:t>
      </w:r>
      <w:proofErr w:type="spellEnd"/>
      <w:r>
        <w:rPr>
          <w:rFonts w:eastAsia="Times New Roman" w:cs="Times New Roman"/>
          <w:i/>
          <w:iCs/>
          <w:color w:val="000000"/>
        </w:rPr>
        <w:t>-Christianity</w:t>
      </w:r>
      <w:r>
        <w:rPr>
          <w:rFonts w:eastAsia="Times New Roman" w:cs="Times New Roman"/>
          <w:color w:val="000000"/>
        </w:rPr>
        <w:t xml:space="preserve">. Philadelphia: University of Pennsylvania Press. </w:t>
      </w:r>
    </w:p>
    <w:p w14:paraId="55DA9B3E" w14:textId="5E3B29A5"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Carlyle, Edward Irving. 1900. “Mark Wilks” in </w:t>
      </w:r>
      <w:r>
        <w:rPr>
          <w:rFonts w:eastAsia="Times New Roman" w:cs="Times New Roman"/>
          <w:i/>
          <w:iCs/>
          <w:color w:val="000000"/>
        </w:rPr>
        <w:t>Dictionary of National Biography</w:t>
      </w:r>
      <w:r w:rsidR="001D4C30">
        <w:rPr>
          <w:rFonts w:eastAsia="Times New Roman" w:cs="Times New Roman"/>
          <w:color w:val="000000"/>
        </w:rPr>
        <w:t>.</w:t>
      </w:r>
      <w:r>
        <w:rPr>
          <w:rFonts w:eastAsia="Times New Roman" w:cs="Times New Roman"/>
          <w:i/>
          <w:iCs/>
          <w:color w:val="000000"/>
        </w:rPr>
        <w:t xml:space="preserve"> </w:t>
      </w:r>
      <w:r>
        <w:rPr>
          <w:rFonts w:eastAsia="Times New Roman" w:cs="Times New Roman"/>
          <w:color w:val="000000"/>
        </w:rPr>
        <w:t>Vol</w:t>
      </w:r>
      <w:r w:rsidR="001D4C30">
        <w:rPr>
          <w:rFonts w:eastAsia="Times New Roman" w:cs="Times New Roman"/>
          <w:color w:val="000000"/>
        </w:rPr>
        <w:t>.</w:t>
      </w:r>
      <w:r>
        <w:rPr>
          <w:rFonts w:eastAsia="Times New Roman" w:cs="Times New Roman"/>
          <w:color w:val="000000"/>
        </w:rPr>
        <w:t xml:space="preserve"> 61. Edited by Sidney Lee. London: Smith, Elder, and Co. </w:t>
      </w:r>
    </w:p>
    <w:p w14:paraId="3E828EA3" w14:textId="2BE69302"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Chidester, David. 1996. </w:t>
      </w:r>
      <w:r>
        <w:rPr>
          <w:rFonts w:eastAsia="Times New Roman" w:cs="Times New Roman"/>
          <w:i/>
          <w:iCs/>
          <w:color w:val="000000"/>
        </w:rPr>
        <w:t>Savage Systems: Colonialism and Comparative Religion in Southern Africa.</w:t>
      </w:r>
      <w:r>
        <w:rPr>
          <w:rFonts w:eastAsia="Times New Roman" w:cs="Times New Roman"/>
          <w:color w:val="000000"/>
        </w:rPr>
        <w:t xml:space="preserve"> Charlottesville: University of Virginia Press. </w:t>
      </w:r>
    </w:p>
    <w:p w14:paraId="7D6E3DFB" w14:textId="77B34CC9" w:rsidR="00A71317" w:rsidRDefault="00A71317" w:rsidP="00A71317">
      <w:pPr>
        <w:spacing w:after="60"/>
        <w:ind w:left="720" w:hanging="720"/>
        <w:rPr>
          <w:rFonts w:eastAsia="Times New Roman"/>
          <w:iCs/>
        </w:rPr>
      </w:pPr>
      <w:proofErr w:type="spellStart"/>
      <w:r w:rsidRPr="00AB3146">
        <w:rPr>
          <w:rFonts w:eastAsia="Times New Roman"/>
          <w:iCs/>
        </w:rPr>
        <w:t>Cikkadēvarāja</w:t>
      </w:r>
      <w:proofErr w:type="spellEnd"/>
      <w:r>
        <w:rPr>
          <w:rFonts w:eastAsia="Times New Roman"/>
          <w:iCs/>
        </w:rPr>
        <w:t>. 1905.</w:t>
      </w:r>
      <w:r w:rsidRPr="00AB3146">
        <w:rPr>
          <w:rFonts w:eastAsia="Times New Roman"/>
          <w:iCs/>
        </w:rPr>
        <w:t xml:space="preserve"> </w:t>
      </w:r>
      <w:proofErr w:type="spellStart"/>
      <w:r w:rsidRPr="00AB3146">
        <w:rPr>
          <w:rFonts w:eastAsia="Times New Roman"/>
          <w:i/>
          <w:iCs/>
        </w:rPr>
        <w:t>Cikkadēvarāja</w:t>
      </w:r>
      <w:proofErr w:type="spellEnd"/>
      <w:r w:rsidRPr="00AB3146">
        <w:rPr>
          <w:rFonts w:eastAsia="Times New Roman"/>
          <w:i/>
          <w:iCs/>
        </w:rPr>
        <w:t xml:space="preserve"> </w:t>
      </w:r>
      <w:proofErr w:type="spellStart"/>
      <w:r w:rsidRPr="00AB3146">
        <w:rPr>
          <w:rFonts w:eastAsia="Times New Roman"/>
          <w:i/>
          <w:iCs/>
        </w:rPr>
        <w:t>Binnapam</w:t>
      </w:r>
      <w:r>
        <w:rPr>
          <w:rFonts w:eastAsia="Times New Roman"/>
          <w:iCs/>
        </w:rPr>
        <w:t xml:space="preserve">. </w:t>
      </w:r>
      <w:r w:rsidRPr="00AB3146">
        <w:rPr>
          <w:rFonts w:eastAsia="Times New Roman"/>
          <w:iCs/>
        </w:rPr>
        <w:t>Mysore</w:t>
      </w:r>
      <w:proofErr w:type="spellEnd"/>
      <w:r w:rsidRPr="00AB3146">
        <w:rPr>
          <w:rFonts w:eastAsia="Times New Roman"/>
          <w:iCs/>
        </w:rPr>
        <w:t xml:space="preserve">: Karnataka Kavya </w:t>
      </w:r>
      <w:proofErr w:type="spellStart"/>
      <w:r w:rsidRPr="00AB3146">
        <w:rPr>
          <w:rFonts w:eastAsia="Times New Roman"/>
          <w:iCs/>
        </w:rPr>
        <w:t>Kalanidhi</w:t>
      </w:r>
      <w:proofErr w:type="spellEnd"/>
      <w:r w:rsidRPr="00AB3146">
        <w:rPr>
          <w:rFonts w:eastAsia="Times New Roman"/>
          <w:iCs/>
        </w:rPr>
        <w:t>, 190</w:t>
      </w:r>
      <w:r>
        <w:rPr>
          <w:rFonts w:eastAsia="Times New Roman"/>
          <w:iCs/>
        </w:rPr>
        <w:t>5</w:t>
      </w:r>
      <w:r w:rsidRPr="00AB3146">
        <w:rPr>
          <w:rFonts w:eastAsia="Times New Roman"/>
          <w:iCs/>
        </w:rPr>
        <w:t>.</w:t>
      </w:r>
    </w:p>
    <w:p w14:paraId="02F53874" w14:textId="77777777" w:rsidR="00A71317" w:rsidRDefault="00A71317">
      <w:pPr>
        <w:spacing w:line="480" w:lineRule="auto"/>
        <w:ind w:left="720" w:hanging="720"/>
        <w:rPr>
          <w:rFonts w:eastAsia="Times New Roman" w:cs="Times New Roman"/>
          <w:color w:val="000000"/>
        </w:rPr>
      </w:pPr>
    </w:p>
    <w:p w14:paraId="31A6D962"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Dēvacandra. 1988 [1838]. </w:t>
      </w:r>
      <w:proofErr w:type="spellStart"/>
      <w:r>
        <w:rPr>
          <w:rFonts w:eastAsia="Times New Roman" w:cs="Times New Roman"/>
          <w:i/>
          <w:iCs/>
          <w:color w:val="000000"/>
        </w:rPr>
        <w:t>Dēvacandra</w:t>
      </w:r>
      <w:proofErr w:type="spellEnd"/>
      <w:r>
        <w:rPr>
          <w:rFonts w:eastAsia="Times New Roman" w:cs="Times New Roman"/>
          <w:i/>
          <w:iCs/>
          <w:color w:val="000000"/>
        </w:rPr>
        <w:t xml:space="preserve"> </w:t>
      </w:r>
      <w:proofErr w:type="spellStart"/>
      <w:r>
        <w:rPr>
          <w:rFonts w:eastAsia="Times New Roman" w:cs="Times New Roman"/>
          <w:i/>
          <w:iCs/>
          <w:color w:val="000000"/>
        </w:rPr>
        <w:t>Viracita</w:t>
      </w:r>
      <w:proofErr w:type="spellEnd"/>
      <w:r>
        <w:rPr>
          <w:rFonts w:eastAsia="Times New Roman" w:cs="Times New Roman"/>
          <w:i/>
          <w:iCs/>
          <w:color w:val="000000"/>
        </w:rPr>
        <w:t xml:space="preserve"> </w:t>
      </w:r>
      <w:proofErr w:type="spellStart"/>
      <w:r>
        <w:rPr>
          <w:rFonts w:eastAsia="Times New Roman" w:cs="Times New Roman"/>
          <w:i/>
          <w:iCs/>
          <w:color w:val="000000"/>
        </w:rPr>
        <w:t>Rājāvaḷi</w:t>
      </w:r>
      <w:proofErr w:type="spellEnd"/>
      <w:r>
        <w:rPr>
          <w:rFonts w:eastAsia="Times New Roman" w:cs="Times New Roman"/>
          <w:i/>
          <w:iCs/>
          <w:color w:val="000000"/>
        </w:rPr>
        <w:t xml:space="preserve"> </w:t>
      </w:r>
      <w:proofErr w:type="spellStart"/>
      <w:r>
        <w:rPr>
          <w:rFonts w:eastAsia="Times New Roman" w:cs="Times New Roman"/>
          <w:i/>
          <w:iCs/>
          <w:color w:val="000000"/>
        </w:rPr>
        <w:t>Kathāsāra</w:t>
      </w:r>
      <w:proofErr w:type="spellEnd"/>
      <w:r>
        <w:rPr>
          <w:rFonts w:eastAsia="Times New Roman" w:cs="Times New Roman"/>
          <w:color w:val="000000"/>
        </w:rPr>
        <w:t xml:space="preserve">. Edited by B. S. </w:t>
      </w:r>
      <w:proofErr w:type="spellStart"/>
      <w:r>
        <w:rPr>
          <w:rFonts w:eastAsia="Times New Roman" w:cs="Times New Roman"/>
          <w:color w:val="000000"/>
        </w:rPr>
        <w:t>Saṇṇayya</w:t>
      </w:r>
      <w:proofErr w:type="spellEnd"/>
      <w:r>
        <w:rPr>
          <w:rFonts w:eastAsia="Times New Roman" w:cs="Times New Roman"/>
          <w:color w:val="000000"/>
        </w:rPr>
        <w:t xml:space="preserve">. Mysore: University of Mysore Press. </w:t>
      </w:r>
    </w:p>
    <w:p w14:paraId="27040094" w14:textId="34E43D63" w:rsidR="002143C6" w:rsidRDefault="002143C6">
      <w:pPr>
        <w:spacing w:line="480" w:lineRule="auto"/>
        <w:ind w:left="720" w:hanging="720"/>
        <w:rPr>
          <w:rFonts w:eastAsia="Times New Roman" w:cs="Times New Roman"/>
          <w:color w:val="000000"/>
        </w:rPr>
      </w:pPr>
      <w:r>
        <w:rPr>
          <w:rFonts w:eastAsia="Times New Roman"/>
          <w:i/>
        </w:rPr>
        <w:t xml:space="preserve">EC </w:t>
      </w:r>
      <w:r>
        <w:rPr>
          <w:rFonts w:eastAsia="Times New Roman"/>
          <w:iCs/>
        </w:rPr>
        <w:t>[</w:t>
      </w:r>
      <w:proofErr w:type="spellStart"/>
      <w:r>
        <w:rPr>
          <w:rFonts w:eastAsia="Times New Roman"/>
          <w:i/>
        </w:rPr>
        <w:t>Epigraphia</w:t>
      </w:r>
      <w:proofErr w:type="spellEnd"/>
      <w:r>
        <w:rPr>
          <w:rFonts w:eastAsia="Times New Roman"/>
          <w:i/>
        </w:rPr>
        <w:t xml:space="preserve"> </w:t>
      </w:r>
      <w:proofErr w:type="spellStart"/>
      <w:r>
        <w:rPr>
          <w:rFonts w:eastAsia="Times New Roman"/>
          <w:i/>
        </w:rPr>
        <w:t>Carnatica</w:t>
      </w:r>
      <w:proofErr w:type="spellEnd"/>
      <w:r>
        <w:rPr>
          <w:rFonts w:eastAsia="Times New Roman"/>
          <w:iCs/>
        </w:rPr>
        <w:t xml:space="preserve">] </w:t>
      </w:r>
      <w:r>
        <w:rPr>
          <w:rFonts w:eastAsia="Times New Roman"/>
          <w:i/>
        </w:rPr>
        <w:t>Volumes 1-12</w:t>
      </w:r>
      <w:r>
        <w:rPr>
          <w:rFonts w:eastAsia="Times New Roman"/>
          <w:i/>
        </w:rPr>
        <w:t xml:space="preserve">. </w:t>
      </w:r>
      <w:r>
        <w:rPr>
          <w:rFonts w:eastAsia="Times New Roman"/>
        </w:rPr>
        <w:t>1898</w:t>
      </w:r>
      <w:r w:rsidRPr="00804790">
        <w:rPr>
          <w:rFonts w:eastAsia="Times New Roman"/>
        </w:rPr>
        <w:t>-1905</w:t>
      </w:r>
      <w:r>
        <w:rPr>
          <w:rFonts w:eastAsia="Times New Roman"/>
        </w:rPr>
        <w:t xml:space="preserve">. </w:t>
      </w:r>
      <w:r>
        <w:rPr>
          <w:rFonts w:eastAsia="Times New Roman"/>
        </w:rPr>
        <w:t>Bangalore: Government Press.</w:t>
      </w:r>
    </w:p>
    <w:p w14:paraId="68EE5A18" w14:textId="6E21D235" w:rsidR="00A63A65" w:rsidRDefault="00000000">
      <w:pPr>
        <w:spacing w:line="480" w:lineRule="auto"/>
        <w:ind w:left="720" w:hanging="720"/>
        <w:rPr>
          <w:rFonts w:eastAsia="Times New Roman" w:cs="Times New Roman"/>
          <w:color w:val="000000"/>
        </w:rPr>
      </w:pPr>
      <w:r>
        <w:rPr>
          <w:rFonts w:eastAsia="Times New Roman" w:cs="Times New Roman"/>
          <w:color w:val="000000"/>
        </w:rPr>
        <w:t>Gopal, M.</w:t>
      </w:r>
      <w:r w:rsidR="001D4C30">
        <w:rPr>
          <w:rFonts w:eastAsia="Times New Roman" w:cs="Times New Roman"/>
          <w:color w:val="000000"/>
        </w:rPr>
        <w:t> </w:t>
      </w:r>
      <w:r>
        <w:rPr>
          <w:rFonts w:eastAsia="Times New Roman" w:cs="Times New Roman"/>
          <w:color w:val="000000"/>
        </w:rPr>
        <w:t xml:space="preserve">H. 1960. </w:t>
      </w:r>
      <w:r>
        <w:rPr>
          <w:rFonts w:eastAsia="Times New Roman" w:cs="Times New Roman"/>
          <w:i/>
          <w:iCs/>
          <w:color w:val="000000"/>
        </w:rPr>
        <w:t>The Finances of the Mysore State, 1799-1831.</w:t>
      </w:r>
      <w:r>
        <w:rPr>
          <w:rFonts w:eastAsia="Times New Roman" w:cs="Times New Roman"/>
          <w:color w:val="000000"/>
        </w:rPr>
        <w:t xml:space="preserve"> Bombay: Oriental Longmans.</w:t>
      </w:r>
    </w:p>
    <w:p w14:paraId="1B032E3A"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Gopal, </w:t>
      </w:r>
      <w:proofErr w:type="gramStart"/>
      <w:r>
        <w:rPr>
          <w:rFonts w:eastAsia="Times New Roman" w:cs="Times New Roman"/>
          <w:color w:val="000000"/>
        </w:rPr>
        <w:t>R.</w:t>
      </w:r>
      <w:proofErr w:type="gramEnd"/>
      <w:r>
        <w:rPr>
          <w:rFonts w:eastAsia="Times New Roman" w:cs="Times New Roman"/>
          <w:color w:val="000000"/>
        </w:rPr>
        <w:t xml:space="preserve"> and S. Narendra Prasad. 2010. </w:t>
      </w:r>
      <w:r>
        <w:rPr>
          <w:rFonts w:eastAsia="Times New Roman" w:cs="Times New Roman"/>
          <w:i/>
          <w:iCs/>
          <w:color w:val="000000"/>
        </w:rPr>
        <w:t>Krishnaraja Wodeyar III: A Historical Study</w:t>
      </w:r>
      <w:r>
        <w:rPr>
          <w:rFonts w:eastAsia="Times New Roman" w:cs="Times New Roman"/>
          <w:color w:val="000000"/>
        </w:rPr>
        <w:t xml:space="preserve">. Mysore: Directorate of Archaeology and Museums. </w:t>
      </w:r>
    </w:p>
    <w:p w14:paraId="1581BDC9" w14:textId="6954D731" w:rsidR="0074169F" w:rsidRDefault="0074169F">
      <w:pPr>
        <w:spacing w:line="480" w:lineRule="auto"/>
        <w:ind w:left="720" w:hanging="720"/>
        <w:rPr>
          <w:rFonts w:eastAsia="Times New Roman" w:cs="Times New Roman"/>
          <w:color w:val="000000"/>
        </w:rPr>
      </w:pPr>
      <w:r w:rsidRPr="0074169F">
        <w:rPr>
          <w:rFonts w:eastAsia="Times New Roman" w:cs="Times New Roman"/>
          <w:color w:val="000000"/>
        </w:rPr>
        <w:t xml:space="preserve">Hawker, Thomas; Morison, William; Macleod, J M; </w:t>
      </w:r>
      <w:proofErr w:type="spellStart"/>
      <w:r w:rsidRPr="0074169F">
        <w:rPr>
          <w:rFonts w:eastAsia="Times New Roman" w:cs="Times New Roman"/>
          <w:color w:val="000000"/>
        </w:rPr>
        <w:t>Cubbon</w:t>
      </w:r>
      <w:proofErr w:type="spellEnd"/>
      <w:r w:rsidRPr="0074169F">
        <w:rPr>
          <w:rFonts w:eastAsia="Times New Roman" w:cs="Times New Roman"/>
          <w:color w:val="000000"/>
        </w:rPr>
        <w:t>, Mark.</w:t>
      </w:r>
      <w:r>
        <w:rPr>
          <w:rFonts w:eastAsia="Times New Roman" w:cs="Times New Roman"/>
          <w:color w:val="000000"/>
        </w:rPr>
        <w:t xml:space="preserve"> 1833.</w:t>
      </w:r>
      <w:r w:rsidRPr="0074169F">
        <w:rPr>
          <w:rFonts w:eastAsia="Times New Roman" w:cs="Times New Roman"/>
          <w:color w:val="000000"/>
        </w:rPr>
        <w:t xml:space="preserve"> </w:t>
      </w:r>
      <w:r w:rsidRPr="00320622">
        <w:rPr>
          <w:rFonts w:eastAsia="Times New Roman" w:cs="Times New Roman"/>
          <w:i/>
          <w:iCs/>
          <w:color w:val="000000"/>
        </w:rPr>
        <w:t>Report on the Insurrection in Mysore</w:t>
      </w:r>
      <w:r w:rsidRPr="0074169F">
        <w:rPr>
          <w:rFonts w:eastAsia="Times New Roman" w:cs="Times New Roman"/>
          <w:color w:val="000000"/>
        </w:rPr>
        <w:t xml:space="preserve">. </w:t>
      </w:r>
      <w:r>
        <w:rPr>
          <w:rFonts w:eastAsia="Times New Roman" w:cs="Times New Roman"/>
          <w:color w:val="000000"/>
        </w:rPr>
        <w:t xml:space="preserve">Bangalore: </w:t>
      </w:r>
      <w:r w:rsidRPr="0074169F">
        <w:rPr>
          <w:rFonts w:eastAsia="Times New Roman" w:cs="Times New Roman"/>
          <w:color w:val="000000"/>
        </w:rPr>
        <w:t>Mysore Government Press.</w:t>
      </w:r>
    </w:p>
    <w:p w14:paraId="641122F0" w14:textId="3487FEC1" w:rsidR="00A63A65" w:rsidRDefault="00000000">
      <w:pPr>
        <w:spacing w:line="480" w:lineRule="auto"/>
        <w:ind w:left="720" w:hanging="720"/>
        <w:rPr>
          <w:rFonts w:eastAsia="Times New Roman" w:cs="Times New Roman"/>
          <w:color w:val="000000"/>
        </w:rPr>
      </w:pPr>
      <w:r>
        <w:rPr>
          <w:rFonts w:eastAsia="Times New Roman" w:cs="Times New Roman"/>
          <w:i/>
          <w:iCs/>
          <w:color w:val="000000"/>
        </w:rPr>
        <w:lastRenderedPageBreak/>
        <w:t>Home Miscellaneous Series</w:t>
      </w:r>
      <w:r w:rsidR="0002062F">
        <w:rPr>
          <w:rFonts w:eastAsia="Times New Roman" w:cs="Times New Roman"/>
          <w:color w:val="000000"/>
        </w:rPr>
        <w:t>.</w:t>
      </w:r>
      <w:r>
        <w:rPr>
          <w:rFonts w:eastAsia="Times New Roman" w:cs="Times New Roman"/>
          <w:i/>
          <w:iCs/>
          <w:color w:val="000000"/>
        </w:rPr>
        <w:t xml:space="preserve"> </w:t>
      </w:r>
      <w:r>
        <w:rPr>
          <w:rFonts w:eastAsia="Times New Roman" w:cs="Times New Roman"/>
          <w:color w:val="000000"/>
        </w:rPr>
        <w:t xml:space="preserve">Vol. 709. British Library Office India Office Records. </w:t>
      </w:r>
    </w:p>
    <w:p w14:paraId="0076300D"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Orsi, Robert A. </w:t>
      </w:r>
      <w:r>
        <w:rPr>
          <w:rFonts w:eastAsia="Times New Roman" w:cs="Times New Roman"/>
          <w:i/>
          <w:iCs/>
          <w:color w:val="000000"/>
        </w:rPr>
        <w:t>Between Heaven and Earth: The Religious Worlds People Make and the Scholars who Study Them</w:t>
      </w:r>
      <w:r>
        <w:rPr>
          <w:rFonts w:eastAsia="Times New Roman" w:cs="Times New Roman"/>
          <w:color w:val="000000"/>
        </w:rPr>
        <w:t xml:space="preserve">. Princeton, NJ: Princeton University Press. </w:t>
      </w:r>
    </w:p>
    <w:p w14:paraId="511E148D"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Rice, B. Lewis. 1897. </w:t>
      </w:r>
      <w:r>
        <w:rPr>
          <w:rFonts w:eastAsia="Times New Roman" w:cs="Times New Roman"/>
          <w:i/>
          <w:iCs/>
          <w:color w:val="000000"/>
        </w:rPr>
        <w:t xml:space="preserve">Mysore: A Gazetteer Compiled for Government. </w:t>
      </w:r>
      <w:r>
        <w:rPr>
          <w:rFonts w:eastAsia="Times New Roman" w:cs="Times New Roman"/>
          <w:color w:val="000000"/>
        </w:rPr>
        <w:t>Volume II. Westminster: A. Constable.</w:t>
      </w:r>
    </w:p>
    <w:p w14:paraId="0A07370D" w14:textId="1CE256D5"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Rao, C. </w:t>
      </w:r>
      <w:proofErr w:type="spellStart"/>
      <w:r>
        <w:rPr>
          <w:rFonts w:eastAsia="Times New Roman" w:cs="Times New Roman"/>
          <w:color w:val="000000"/>
        </w:rPr>
        <w:t>Hayavadana</w:t>
      </w:r>
      <w:proofErr w:type="spellEnd"/>
      <w:r>
        <w:rPr>
          <w:rFonts w:eastAsia="Times New Roman" w:cs="Times New Roman"/>
          <w:color w:val="000000"/>
        </w:rPr>
        <w:t xml:space="preserve">. 1948. </w:t>
      </w:r>
      <w:r>
        <w:rPr>
          <w:rFonts w:eastAsia="Times New Roman" w:cs="Times New Roman"/>
          <w:i/>
          <w:iCs/>
          <w:color w:val="000000"/>
        </w:rPr>
        <w:t>History of Mysore (1399</w:t>
      </w:r>
      <w:r w:rsidR="000A1CD1">
        <w:rPr>
          <w:rFonts w:eastAsia="Times New Roman" w:cs="Times New Roman"/>
          <w:i/>
          <w:iCs/>
          <w:color w:val="000000"/>
        </w:rPr>
        <w:t>–</w:t>
      </w:r>
      <w:r>
        <w:rPr>
          <w:rFonts w:eastAsia="Times New Roman" w:cs="Times New Roman"/>
          <w:i/>
          <w:iCs/>
          <w:color w:val="000000"/>
        </w:rPr>
        <w:t>1799): 1399</w:t>
      </w:r>
      <w:r w:rsidR="000A1CD1">
        <w:rPr>
          <w:rFonts w:eastAsia="Times New Roman" w:cs="Times New Roman"/>
          <w:i/>
          <w:iCs/>
          <w:color w:val="000000"/>
        </w:rPr>
        <w:t>–</w:t>
      </w:r>
      <w:r>
        <w:rPr>
          <w:rFonts w:eastAsia="Times New Roman" w:cs="Times New Roman"/>
          <w:i/>
          <w:iCs/>
          <w:color w:val="000000"/>
        </w:rPr>
        <w:t>1704</w:t>
      </w:r>
      <w:r w:rsidR="000A1CD1" w:rsidRPr="00320622">
        <w:rPr>
          <w:rFonts w:eastAsia="Times New Roman" w:cs="Times New Roman"/>
          <w:color w:val="000000"/>
        </w:rPr>
        <w:t>.</w:t>
      </w:r>
      <w:r w:rsidRPr="000A1CD1">
        <w:rPr>
          <w:rFonts w:eastAsia="Times New Roman" w:cs="Times New Roman"/>
          <w:color w:val="000000"/>
        </w:rPr>
        <w:t xml:space="preserve"> </w:t>
      </w:r>
      <w:r>
        <w:rPr>
          <w:rFonts w:eastAsia="Times New Roman" w:cs="Times New Roman"/>
          <w:color w:val="000000"/>
        </w:rPr>
        <w:t>Vo</w:t>
      </w:r>
      <w:r w:rsidR="000A1CD1">
        <w:rPr>
          <w:rFonts w:eastAsia="Times New Roman" w:cs="Times New Roman"/>
          <w:color w:val="000000"/>
        </w:rPr>
        <w:t>l.</w:t>
      </w:r>
      <w:r>
        <w:rPr>
          <w:rFonts w:eastAsia="Times New Roman" w:cs="Times New Roman"/>
          <w:color w:val="000000"/>
        </w:rPr>
        <w:t xml:space="preserve"> 1. Mysore: Superintendent of the Government Press. </w:t>
      </w:r>
    </w:p>
    <w:p w14:paraId="092B8AA2" w14:textId="3E694FFB" w:rsidR="002143C6" w:rsidRDefault="002143C6">
      <w:pPr>
        <w:spacing w:line="480" w:lineRule="auto"/>
        <w:ind w:left="720" w:hanging="720"/>
        <w:rPr>
          <w:rFonts w:eastAsia="Times New Roman" w:cs="Times New Roman"/>
          <w:color w:val="000000"/>
        </w:rPr>
      </w:pPr>
      <w:r w:rsidRPr="002143C6">
        <w:rPr>
          <w:rFonts w:eastAsia="Times New Roman" w:cs="Times New Roman"/>
          <w:color w:val="000000"/>
        </w:rPr>
        <w:t>REC [</w:t>
      </w:r>
      <w:r w:rsidRPr="00320622">
        <w:rPr>
          <w:rFonts w:eastAsia="Times New Roman" w:cs="Times New Roman"/>
          <w:i/>
          <w:iCs/>
          <w:color w:val="000000"/>
        </w:rPr>
        <w:t xml:space="preserve">Revised </w:t>
      </w:r>
      <w:proofErr w:type="spellStart"/>
      <w:r w:rsidRPr="00320622">
        <w:rPr>
          <w:rFonts w:eastAsia="Times New Roman" w:cs="Times New Roman"/>
          <w:i/>
          <w:iCs/>
          <w:color w:val="000000"/>
        </w:rPr>
        <w:t>Epigraphia</w:t>
      </w:r>
      <w:proofErr w:type="spellEnd"/>
      <w:r w:rsidRPr="00320622">
        <w:rPr>
          <w:rFonts w:eastAsia="Times New Roman" w:cs="Times New Roman"/>
          <w:i/>
          <w:iCs/>
          <w:color w:val="000000"/>
        </w:rPr>
        <w:t xml:space="preserve"> </w:t>
      </w:r>
      <w:proofErr w:type="spellStart"/>
      <w:r w:rsidRPr="00320622">
        <w:rPr>
          <w:rFonts w:eastAsia="Times New Roman" w:cs="Times New Roman"/>
          <w:i/>
          <w:iCs/>
          <w:color w:val="000000"/>
        </w:rPr>
        <w:t>Carnatica</w:t>
      </w:r>
      <w:proofErr w:type="spellEnd"/>
      <w:r w:rsidRPr="002143C6">
        <w:rPr>
          <w:rFonts w:eastAsia="Times New Roman" w:cs="Times New Roman"/>
          <w:color w:val="000000"/>
        </w:rPr>
        <w:t>] Volumes 1-16</w:t>
      </w:r>
      <w:r>
        <w:rPr>
          <w:rFonts w:eastAsia="Times New Roman" w:cs="Times New Roman"/>
          <w:color w:val="000000"/>
        </w:rPr>
        <w:t xml:space="preserve">. </w:t>
      </w:r>
      <w:r w:rsidRPr="002143C6">
        <w:rPr>
          <w:rFonts w:eastAsia="Times New Roman" w:cs="Times New Roman"/>
          <w:color w:val="000000"/>
        </w:rPr>
        <w:t>1972-2009</w:t>
      </w:r>
      <w:r>
        <w:rPr>
          <w:rFonts w:eastAsia="Times New Roman" w:cs="Times New Roman"/>
          <w:color w:val="000000"/>
        </w:rPr>
        <w:t>.</w:t>
      </w:r>
      <w:r w:rsidRPr="002143C6">
        <w:rPr>
          <w:rFonts w:eastAsia="Times New Roman" w:cs="Times New Roman"/>
          <w:color w:val="000000"/>
        </w:rPr>
        <w:t xml:space="preserve"> Mysore: Institute of Kannada Studies University of Mysore.</w:t>
      </w:r>
    </w:p>
    <w:p w14:paraId="51D793C9" w14:textId="3229F73B" w:rsidR="00A63A65" w:rsidRDefault="00000000">
      <w:pPr>
        <w:spacing w:line="480" w:lineRule="auto"/>
        <w:ind w:left="720" w:hanging="720"/>
        <w:rPr>
          <w:rFonts w:eastAsia="Times New Roman" w:cs="Times New Roman"/>
          <w:color w:val="000000"/>
        </w:rPr>
      </w:pPr>
      <w:r>
        <w:rPr>
          <w:rFonts w:eastAsia="Times New Roman" w:cs="Times New Roman"/>
          <w:color w:val="000000"/>
        </w:rPr>
        <w:t>Sastri, S. Srikanta. 1941. “</w:t>
      </w:r>
      <w:proofErr w:type="spellStart"/>
      <w:r>
        <w:rPr>
          <w:rFonts w:eastAsia="Times New Roman" w:cs="Times New Roman"/>
          <w:color w:val="000000"/>
        </w:rPr>
        <w:t>Jaina</w:t>
      </w:r>
      <w:proofErr w:type="spellEnd"/>
      <w:r>
        <w:rPr>
          <w:rFonts w:eastAsia="Times New Roman" w:cs="Times New Roman"/>
          <w:color w:val="000000"/>
        </w:rPr>
        <w:t xml:space="preserve"> Traditions in </w:t>
      </w:r>
      <w:proofErr w:type="spellStart"/>
      <w:r>
        <w:rPr>
          <w:rFonts w:eastAsia="Times New Roman" w:cs="Times New Roman"/>
          <w:color w:val="000000"/>
        </w:rPr>
        <w:t>Rajavali</w:t>
      </w:r>
      <w:proofErr w:type="spellEnd"/>
      <w:r>
        <w:rPr>
          <w:rFonts w:eastAsia="Times New Roman" w:cs="Times New Roman"/>
          <w:color w:val="000000"/>
        </w:rPr>
        <w:t xml:space="preserve"> Katha” in </w:t>
      </w:r>
      <w:r>
        <w:rPr>
          <w:rFonts w:eastAsia="Times New Roman" w:cs="Times New Roman"/>
          <w:i/>
          <w:iCs/>
          <w:color w:val="000000"/>
        </w:rPr>
        <w:t>The Jaina Antiquary</w:t>
      </w:r>
      <w:r>
        <w:rPr>
          <w:rFonts w:eastAsia="Times New Roman" w:cs="Times New Roman"/>
          <w:color w:val="000000"/>
        </w:rPr>
        <w:t xml:space="preserve"> 7.1 &amp; 11 (December). </w:t>
      </w:r>
      <w:hyperlink r:id="rId13">
        <w:r>
          <w:rPr>
            <w:rStyle w:val="Hyperlink"/>
            <w:rFonts w:eastAsia="Times New Roman" w:cs="Times New Roman"/>
          </w:rPr>
          <w:t>https://www.srikanta-sastri.org/jain-traditions-rajavali-katha/4589254219</w:t>
        </w:r>
      </w:hyperlink>
      <w:r w:rsidR="00B762CA">
        <w:rPr>
          <w:rFonts w:eastAsia="Times New Roman" w:cs="Times New Roman"/>
          <w:color w:val="000000"/>
        </w:rPr>
        <w:t>.</w:t>
      </w:r>
    </w:p>
    <w:p w14:paraId="564D6A59" w14:textId="506693F1" w:rsidR="00A63A65" w:rsidRDefault="00EA2C47">
      <w:pPr>
        <w:spacing w:line="480" w:lineRule="auto"/>
        <w:ind w:left="720" w:hanging="720"/>
        <w:rPr>
          <w:rFonts w:eastAsia="Times New Roman" w:cs="Times New Roman"/>
          <w:color w:val="000000"/>
        </w:rPr>
      </w:pPr>
      <w:proofErr w:type="spellStart"/>
      <w:r>
        <w:rPr>
          <w:rFonts w:eastAsia="Times New Roman" w:cs="Times New Roman"/>
          <w:color w:val="000000"/>
        </w:rPr>
        <w:t>Śāstri</w:t>
      </w:r>
      <w:proofErr w:type="spellEnd"/>
      <w:r>
        <w:rPr>
          <w:rFonts w:eastAsia="Times New Roman" w:cs="Times New Roman"/>
          <w:color w:val="000000"/>
        </w:rPr>
        <w:t xml:space="preserve">, V. </w:t>
      </w:r>
      <w:proofErr w:type="spellStart"/>
      <w:r>
        <w:rPr>
          <w:rFonts w:eastAsia="Times New Roman" w:cs="Times New Roman"/>
          <w:color w:val="000000"/>
        </w:rPr>
        <w:t>Prabhākara</w:t>
      </w:r>
      <w:proofErr w:type="spellEnd"/>
      <w:r>
        <w:rPr>
          <w:rFonts w:eastAsia="Times New Roman" w:cs="Times New Roman"/>
          <w:color w:val="000000"/>
        </w:rPr>
        <w:t xml:space="preserve">. 1920. </w:t>
      </w:r>
      <w:proofErr w:type="spellStart"/>
      <w:r>
        <w:rPr>
          <w:rFonts w:eastAsia="Times New Roman" w:cs="Times New Roman"/>
          <w:i/>
          <w:iCs/>
          <w:color w:val="000000"/>
        </w:rPr>
        <w:t>Cātupadyamaṇimañjari</w:t>
      </w:r>
      <w:proofErr w:type="spellEnd"/>
      <w:r>
        <w:rPr>
          <w:rFonts w:eastAsia="Times New Roman" w:cs="Times New Roman"/>
          <w:color w:val="000000"/>
        </w:rPr>
        <w:t>. Madras: np.</w:t>
      </w:r>
    </w:p>
    <w:p w14:paraId="72F5BA7C" w14:textId="77777777" w:rsidR="00A63A65" w:rsidRDefault="00000000">
      <w:pPr>
        <w:spacing w:line="480" w:lineRule="auto"/>
        <w:ind w:left="720" w:hanging="720"/>
        <w:rPr>
          <w:rFonts w:eastAsia="Times New Roman" w:cs="Times New Roman"/>
          <w:color w:val="000000"/>
        </w:rPr>
      </w:pPr>
      <w:proofErr w:type="spellStart"/>
      <w:r>
        <w:rPr>
          <w:rFonts w:eastAsia="Times New Roman" w:cs="Times New Roman"/>
          <w:color w:val="000000"/>
        </w:rPr>
        <w:t>Shivasundar</w:t>
      </w:r>
      <w:proofErr w:type="spellEnd"/>
      <w:r>
        <w:rPr>
          <w:rFonts w:eastAsia="Times New Roman" w:cs="Times New Roman"/>
          <w:color w:val="000000"/>
        </w:rPr>
        <w:t xml:space="preserve">. 2023. “How Karnataka’s Lingayat Community Was First </w:t>
      </w:r>
      <w:proofErr w:type="spellStart"/>
      <w:r>
        <w:rPr>
          <w:rFonts w:eastAsia="Times New Roman" w:cs="Times New Roman"/>
          <w:color w:val="000000"/>
        </w:rPr>
        <w:t>Hinduised</w:t>
      </w:r>
      <w:proofErr w:type="spellEnd"/>
      <w:r>
        <w:rPr>
          <w:rFonts w:eastAsia="Times New Roman" w:cs="Times New Roman"/>
          <w:color w:val="000000"/>
        </w:rPr>
        <w:t xml:space="preserve"> and Then </w:t>
      </w:r>
      <w:proofErr w:type="spellStart"/>
      <w:r>
        <w:rPr>
          <w:rFonts w:eastAsia="Times New Roman" w:cs="Times New Roman"/>
          <w:color w:val="000000"/>
        </w:rPr>
        <w:t>Hindutvaised</w:t>
      </w:r>
      <w:proofErr w:type="spellEnd"/>
      <w:r>
        <w:rPr>
          <w:rFonts w:eastAsia="Times New Roman" w:cs="Times New Roman"/>
          <w:color w:val="000000"/>
        </w:rPr>
        <w:t xml:space="preserve">” May 8. </w:t>
      </w:r>
      <w:hyperlink r:id="rId14">
        <w:r>
          <w:rPr>
            <w:rStyle w:val="Hyperlink"/>
            <w:rFonts w:eastAsia="Times New Roman" w:cs="Times New Roman"/>
          </w:rPr>
          <w:t>https://thewire.in/politics/karnataka-election-lingayat-hindutva</w:t>
        </w:r>
      </w:hyperlink>
      <w:r>
        <w:rPr>
          <w:rFonts w:eastAsia="Times New Roman" w:cs="Times New Roman"/>
          <w:color w:val="000000"/>
        </w:rPr>
        <w:t xml:space="preserve"> (accessed August 15, 2023).</w:t>
      </w:r>
    </w:p>
    <w:p w14:paraId="5800254D"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Simmons, Caleb. 2020. </w:t>
      </w:r>
      <w:r>
        <w:rPr>
          <w:rFonts w:eastAsia="Times New Roman" w:cs="Times New Roman"/>
          <w:i/>
          <w:iCs/>
          <w:color w:val="000000"/>
        </w:rPr>
        <w:t>Devotional Sovereignty: Kingship and Religion in India</w:t>
      </w:r>
      <w:r>
        <w:rPr>
          <w:rFonts w:eastAsia="Times New Roman" w:cs="Times New Roman"/>
          <w:color w:val="000000"/>
        </w:rPr>
        <w:t>. New York: Oxford University Press.</w:t>
      </w:r>
    </w:p>
    <w:p w14:paraId="18A3D75D" w14:textId="77777777" w:rsidR="00A63A65" w:rsidRDefault="00000000">
      <w:pPr>
        <w:spacing w:line="480" w:lineRule="auto"/>
        <w:ind w:left="720" w:hanging="720"/>
        <w:rPr>
          <w:rFonts w:eastAsia="Times New Roman" w:cs="Times New Roman"/>
          <w:color w:val="000000"/>
        </w:rPr>
      </w:pPr>
      <w:r>
        <w:rPr>
          <w:rFonts w:eastAsia="Times New Roman" w:cs="Times New Roman"/>
          <w:color w:val="000000"/>
        </w:rPr>
        <w:t xml:space="preserve">Stoker, Valerie. 2016. </w:t>
      </w:r>
      <w:r>
        <w:rPr>
          <w:rFonts w:eastAsia="Times New Roman" w:cs="Times New Roman"/>
          <w:i/>
          <w:iCs/>
          <w:color w:val="000000"/>
        </w:rPr>
        <w:t xml:space="preserve">Polemics and Patronage in the City of Victory: </w:t>
      </w:r>
      <w:proofErr w:type="spellStart"/>
      <w:r>
        <w:rPr>
          <w:rFonts w:eastAsia="Times New Roman" w:cs="Times New Roman"/>
          <w:i/>
          <w:iCs/>
          <w:color w:val="000000"/>
        </w:rPr>
        <w:t>Vyasatīrtha</w:t>
      </w:r>
      <w:proofErr w:type="spellEnd"/>
      <w:r>
        <w:rPr>
          <w:rFonts w:eastAsia="Times New Roman" w:cs="Times New Roman"/>
          <w:i/>
          <w:iCs/>
          <w:color w:val="000000"/>
        </w:rPr>
        <w:t xml:space="preserve">, Hindu Sectarianism, and the Sixteenth-Century </w:t>
      </w:r>
      <w:proofErr w:type="spellStart"/>
      <w:r>
        <w:rPr>
          <w:rFonts w:eastAsia="Times New Roman" w:cs="Times New Roman"/>
          <w:i/>
          <w:iCs/>
          <w:color w:val="000000"/>
        </w:rPr>
        <w:t>Vijayanagara</w:t>
      </w:r>
      <w:proofErr w:type="spellEnd"/>
      <w:r>
        <w:rPr>
          <w:rFonts w:eastAsia="Times New Roman" w:cs="Times New Roman"/>
          <w:i/>
          <w:iCs/>
          <w:color w:val="000000"/>
        </w:rPr>
        <w:t xml:space="preserve"> Court</w:t>
      </w:r>
      <w:r>
        <w:rPr>
          <w:rFonts w:eastAsia="Times New Roman" w:cs="Times New Roman"/>
          <w:color w:val="000000"/>
        </w:rPr>
        <w:t xml:space="preserve">. Berkeley: University of California Press. </w:t>
      </w:r>
    </w:p>
    <w:p w14:paraId="1F1E4479" w14:textId="77777777" w:rsidR="00A63A65" w:rsidRDefault="00000000">
      <w:pPr>
        <w:spacing w:line="480" w:lineRule="auto"/>
        <w:ind w:left="720" w:hanging="720"/>
        <w:rPr>
          <w:rFonts w:eastAsia="Times New Roman" w:cs="Times New Roman"/>
          <w:color w:val="000000"/>
        </w:rPr>
      </w:pPr>
      <w:r>
        <w:rPr>
          <w:rFonts w:eastAsia="Times New Roman" w:cs="Times New Roman"/>
          <w:i/>
          <w:iCs/>
          <w:color w:val="000000"/>
        </w:rPr>
        <w:lastRenderedPageBreak/>
        <w:t>Times of India</w:t>
      </w:r>
      <w:r>
        <w:rPr>
          <w:rFonts w:eastAsia="Times New Roman" w:cs="Times New Roman"/>
          <w:color w:val="000000"/>
        </w:rPr>
        <w:t xml:space="preserve">. 2018. “Karnataka govt clears minority status for </w:t>
      </w:r>
      <w:proofErr w:type="spellStart"/>
      <w:r>
        <w:rPr>
          <w:rFonts w:eastAsia="Times New Roman" w:cs="Times New Roman"/>
          <w:color w:val="000000"/>
        </w:rPr>
        <w:t>Lingayats</w:t>
      </w:r>
      <w:proofErr w:type="spellEnd"/>
      <w:r>
        <w:rPr>
          <w:rFonts w:eastAsia="Times New Roman" w:cs="Times New Roman"/>
          <w:color w:val="000000"/>
        </w:rPr>
        <w:t xml:space="preserve">.” March 20. </w:t>
      </w:r>
      <w:hyperlink r:id="rId15">
        <w:r>
          <w:rPr>
            <w:rStyle w:val="Hyperlink"/>
            <w:rFonts w:eastAsia="Times New Roman" w:cs="Times New Roman"/>
          </w:rPr>
          <w:t>https://timesofindia.indiatimes.com/india/karnataka-govt-clears-minority-status-for-lingayats/articleshow/63373048.cms</w:t>
        </w:r>
      </w:hyperlink>
      <w:r>
        <w:rPr>
          <w:rFonts w:eastAsia="Times New Roman" w:cs="Times New Roman"/>
          <w:color w:val="000000"/>
        </w:rPr>
        <w:t xml:space="preserve"> (accessed Jan 19, 2021).</w:t>
      </w:r>
    </w:p>
    <w:p w14:paraId="67358A8E" w14:textId="2157E867" w:rsidR="00A63A65" w:rsidRDefault="00216D93">
      <w:pPr>
        <w:spacing w:line="480" w:lineRule="auto"/>
        <w:ind w:left="720" w:hanging="720"/>
        <w:rPr>
          <w:rFonts w:eastAsia="Times New Roman" w:cs="Times New Roman"/>
          <w:color w:val="000000"/>
        </w:rPr>
      </w:pPr>
      <w:proofErr w:type="spellStart"/>
      <w:r>
        <w:rPr>
          <w:rFonts w:eastAsia="Times New Roman" w:cs="Times New Roman"/>
          <w:color w:val="000000"/>
        </w:rPr>
        <w:t>Wadayar</w:t>
      </w:r>
      <w:proofErr w:type="spellEnd"/>
      <w:r>
        <w:rPr>
          <w:rFonts w:eastAsia="Times New Roman" w:cs="Times New Roman"/>
          <w:color w:val="000000"/>
        </w:rPr>
        <w:t xml:space="preserve">, Maharaja </w:t>
      </w:r>
      <w:proofErr w:type="spellStart"/>
      <w:r>
        <w:rPr>
          <w:rFonts w:eastAsia="Times New Roman" w:cs="Times New Roman"/>
          <w:color w:val="000000"/>
        </w:rPr>
        <w:t>Chikadevaraja</w:t>
      </w:r>
      <w:proofErr w:type="spellEnd"/>
      <w:r>
        <w:rPr>
          <w:rFonts w:eastAsia="Times New Roman" w:cs="Times New Roman"/>
          <w:color w:val="000000"/>
        </w:rPr>
        <w:t xml:space="preserve">. 1949. </w:t>
      </w:r>
      <w:proofErr w:type="spellStart"/>
      <w:r>
        <w:rPr>
          <w:rFonts w:eastAsia="Times New Roman" w:cs="Times New Roman"/>
          <w:i/>
          <w:iCs/>
          <w:color w:val="000000"/>
        </w:rPr>
        <w:t>Chik-Devaraja</w:t>
      </w:r>
      <w:proofErr w:type="spellEnd"/>
      <w:r>
        <w:rPr>
          <w:rFonts w:eastAsia="Times New Roman" w:cs="Times New Roman"/>
          <w:i/>
          <w:iCs/>
          <w:color w:val="000000"/>
        </w:rPr>
        <w:t xml:space="preserve"> </w:t>
      </w:r>
      <w:proofErr w:type="spellStart"/>
      <w:r>
        <w:rPr>
          <w:rFonts w:eastAsia="Times New Roman" w:cs="Times New Roman"/>
          <w:i/>
          <w:iCs/>
          <w:color w:val="000000"/>
        </w:rPr>
        <w:t>Binnapam</w:t>
      </w:r>
      <w:proofErr w:type="spellEnd"/>
      <w:r>
        <w:rPr>
          <w:rFonts w:eastAsia="Times New Roman" w:cs="Times New Roman"/>
          <w:i/>
          <w:iCs/>
          <w:color w:val="000000"/>
        </w:rPr>
        <w:t xml:space="preserve">: Being a Discourse on the Essence of </w:t>
      </w:r>
      <w:proofErr w:type="spellStart"/>
      <w:r>
        <w:rPr>
          <w:rFonts w:eastAsia="Times New Roman" w:cs="Times New Roman"/>
          <w:i/>
          <w:iCs/>
          <w:color w:val="000000"/>
        </w:rPr>
        <w:t>Visishtavvaita</w:t>
      </w:r>
      <w:proofErr w:type="spellEnd"/>
      <w:r>
        <w:rPr>
          <w:rFonts w:eastAsia="Times New Roman" w:cs="Times New Roman"/>
          <w:color w:val="000000"/>
        </w:rPr>
        <w:t xml:space="preserve">. Edited by R. </w:t>
      </w:r>
      <w:proofErr w:type="spellStart"/>
      <w:r>
        <w:rPr>
          <w:rFonts w:eastAsia="Times New Roman" w:cs="Times New Roman"/>
          <w:color w:val="000000"/>
        </w:rPr>
        <w:t>Tirunarana</w:t>
      </w:r>
      <w:proofErr w:type="spellEnd"/>
      <w:r>
        <w:rPr>
          <w:rFonts w:eastAsia="Times New Roman" w:cs="Times New Roman"/>
          <w:color w:val="000000"/>
        </w:rPr>
        <w:t xml:space="preserve"> Iyengar. Mysore: Coronation Press.</w:t>
      </w:r>
    </w:p>
    <w:p w14:paraId="0C11570F" w14:textId="014A79F0" w:rsidR="00A63A65" w:rsidRDefault="00EA2C47">
      <w:pPr>
        <w:spacing w:line="480" w:lineRule="auto"/>
        <w:ind w:left="720" w:hanging="720"/>
        <w:rPr>
          <w:rFonts w:eastAsia="Times New Roman" w:cs="Times New Roman"/>
          <w:color w:val="000000"/>
        </w:rPr>
      </w:pPr>
      <w:r>
        <w:rPr>
          <w:rFonts w:eastAsia="Times New Roman" w:cs="Times New Roman"/>
          <w:color w:val="000000"/>
        </w:rPr>
        <w:t xml:space="preserve">Wilks, Mark. 1869 [1810]. </w:t>
      </w:r>
      <w:r>
        <w:rPr>
          <w:rFonts w:eastAsia="Times New Roman" w:cs="Times New Roman"/>
          <w:i/>
          <w:iCs/>
          <w:color w:val="000000"/>
        </w:rPr>
        <w:t xml:space="preserve">Historical Sketches of the South of India </w:t>
      </w:r>
      <w:proofErr w:type="gramStart"/>
      <w:r>
        <w:rPr>
          <w:rFonts w:eastAsia="Times New Roman" w:cs="Times New Roman"/>
          <w:i/>
          <w:iCs/>
          <w:color w:val="000000"/>
        </w:rPr>
        <w:t>in an attempt to</w:t>
      </w:r>
      <w:proofErr w:type="gramEnd"/>
      <w:r>
        <w:rPr>
          <w:rFonts w:eastAsia="Times New Roman" w:cs="Times New Roman"/>
          <w:i/>
          <w:iCs/>
          <w:color w:val="000000"/>
        </w:rPr>
        <w:t xml:space="preserve"> trace the History of </w:t>
      </w:r>
      <w:proofErr w:type="spellStart"/>
      <w:r>
        <w:rPr>
          <w:rFonts w:eastAsia="Times New Roman" w:cs="Times New Roman"/>
          <w:i/>
          <w:iCs/>
          <w:color w:val="000000"/>
        </w:rPr>
        <w:t>Mysoor</w:t>
      </w:r>
      <w:proofErr w:type="spellEnd"/>
      <w:r>
        <w:rPr>
          <w:rFonts w:eastAsia="Times New Roman" w:cs="Times New Roman"/>
          <w:i/>
          <w:iCs/>
          <w:color w:val="000000"/>
        </w:rPr>
        <w:t xml:space="preserve"> from the Origin of the Hindoo Government of that State, to the Extinction of the Mohammedan Dynasty in 1799. </w:t>
      </w:r>
      <w:r>
        <w:rPr>
          <w:rFonts w:eastAsia="Times New Roman" w:cs="Times New Roman"/>
          <w:color w:val="000000"/>
        </w:rPr>
        <w:t>Madras: Higginbotham and Co.</w:t>
      </w:r>
    </w:p>
    <w:p w14:paraId="10459C64" w14:textId="77777777" w:rsidR="00A63A65" w:rsidRDefault="00A63A65">
      <w:pPr>
        <w:spacing w:line="480" w:lineRule="auto"/>
        <w:rPr>
          <w:rFonts w:eastAsia="Times New Roman" w:cs="Times New Roman"/>
        </w:rPr>
      </w:pPr>
    </w:p>
    <w:sectPr w:rsidR="00A63A65">
      <w:footerReference w:type="even" r:id="rId16"/>
      <w:footerReference w:type="default" r:id="rId17"/>
      <w:footerReference w:type="first" r:id="rId18"/>
      <w:endnotePr>
        <w:numFmt w:val="decimal"/>
      </w:endnotePr>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herine Ulrich" w:date="2023-11-03T13:43:00Z" w:initials="KU">
    <w:p w14:paraId="2746F234" w14:textId="77777777" w:rsidR="004B6927" w:rsidRDefault="004B6927" w:rsidP="007C19DA">
      <w:pPr>
        <w:pStyle w:val="CommentText"/>
      </w:pPr>
      <w:r>
        <w:rPr>
          <w:rStyle w:val="CommentReference"/>
        </w:rPr>
        <w:annotationRef/>
      </w:r>
      <w:r>
        <w:t>Andrew: Ben-Herut article used "Liṅgāyat" (no final -a); do you want this standardized?</w:t>
      </w:r>
      <w:r>
        <w:rPr>
          <w:b/>
          <w:bCs/>
        </w:rPr>
        <w:t xml:space="preserve">  </w:t>
      </w:r>
    </w:p>
  </w:comment>
  <w:comment w:id="2" w:author="Simmons, Caleb - (calebsimmons)" w:date="2024-03-18T09:40:00Z" w:initials="CS">
    <w:p w14:paraId="7F7C7C28" w14:textId="77777777" w:rsidR="00BA1800" w:rsidRDefault="00BA1800" w:rsidP="00BA1800">
      <w:r>
        <w:rPr>
          <w:rStyle w:val="CommentReference"/>
        </w:rPr>
        <w:annotationRef/>
      </w:r>
      <w:r>
        <w:rPr>
          <w:color w:val="000000"/>
          <w:sz w:val="20"/>
          <w:szCs w:val="20"/>
        </w:rPr>
        <w:t>Done</w:t>
      </w:r>
    </w:p>
  </w:comment>
  <w:comment w:id="3" w:author="Katherine Ulrich" w:date="2023-11-03T13:21:00Z" w:initials="KU">
    <w:p w14:paraId="59224B6C" w14:textId="61DFF3FF" w:rsidR="00947B38" w:rsidRDefault="00947B38">
      <w:pPr>
        <w:pStyle w:val="CommentText"/>
      </w:pPr>
      <w:r>
        <w:rPr>
          <w:rStyle w:val="CommentReference"/>
        </w:rPr>
        <w:annotationRef/>
      </w:r>
      <w:r>
        <w:t xml:space="preserve">AU: this made me pause, I think because I wasn't clear on how a tradition could have agency? I would think only individuals could have agency….? Maybe someone has theorized a type of collective agency, and I'm just not familiar with that literature...but if that is the case, maybe there should be a footnote? </w:t>
      </w:r>
    </w:p>
    <w:p w14:paraId="46E50CFD" w14:textId="77777777" w:rsidR="00947B38" w:rsidRDefault="00947B38" w:rsidP="00F42DC6">
      <w:pPr>
        <w:pStyle w:val="CommentText"/>
      </w:pPr>
      <w:r>
        <w:t xml:space="preserve">Depending on the anticipated audience for this, it might also be worth spelling out the legal consequences for being "counted" as Hindu or not by the government. </w:t>
      </w:r>
    </w:p>
  </w:comment>
  <w:comment w:id="5" w:author="Katherine Ulrich" w:date="2023-11-03T13:55:00Z" w:initials="KU">
    <w:p w14:paraId="57039367" w14:textId="77777777" w:rsidR="00442F44" w:rsidRDefault="00442F44" w:rsidP="00003649">
      <w:pPr>
        <w:pStyle w:val="CommentText"/>
      </w:pPr>
      <w:r>
        <w:rPr>
          <w:rStyle w:val="CommentReference"/>
        </w:rPr>
        <w:annotationRef/>
      </w:r>
      <w:r>
        <w:t>AU: it might be worth considering adding the centuries here. You spell it out on the next page, but...I'd maybe like to see it earlier. (I wonder if it might even be worth switching the title to the centuries rather than the royal names? [I had no idea when the kings you mention ruled--my own research focus is on Tamil history and a much earlier period--so, personally, the centuries are more helpful for placing the context of your article than the names of kings. Just a thought.]</w:t>
      </w:r>
    </w:p>
  </w:comment>
  <w:comment w:id="6" w:author="Unknown Author" w:date="2023-10-19T07:50:00Z" w:initials="">
    <w:p w14:paraId="78B1EE0D" w14:textId="5EB87DB2" w:rsidR="00A63A65" w:rsidRDefault="00000000">
      <w:r>
        <w:rPr>
          <w:rFonts w:ascii="Cambria" w:hAnsi="Cambria"/>
          <w:sz w:val="20"/>
        </w:rPr>
        <w:t>I wonder if these first 2+ pages could be condensed a bit: (a) pragmatic considerations from outside the community have been involved in the determination of the community’s legal status in recent years; (b) similar considerations have been operative in the past; (c) [not stated, but perhaps a general point about the tension between self-ascription and other-ascription in the negotiation of identity…?]</w:t>
      </w:r>
    </w:p>
  </w:comment>
  <w:comment w:id="7" w:author="Katherine Ulrich" w:date="2023-11-11T13:04:00Z" w:initials="KU">
    <w:p w14:paraId="45927A6B" w14:textId="77777777" w:rsidR="003A4ECF" w:rsidRDefault="003A4ECF" w:rsidP="009122D3">
      <w:pPr>
        <w:pStyle w:val="CommentText"/>
      </w:pPr>
      <w:r>
        <w:rPr>
          <w:rStyle w:val="CommentReference"/>
        </w:rPr>
        <w:annotationRef/>
      </w:r>
      <w:r>
        <w:t>1st use of term; define?</w:t>
      </w:r>
    </w:p>
  </w:comment>
  <w:comment w:id="8" w:author="Katherine Ulrich" w:date="2023-11-03T14:04:00Z" w:initials="KU">
    <w:p w14:paraId="1FA0F7B8" w14:textId="77777777" w:rsidR="00516810" w:rsidRDefault="00516810" w:rsidP="00FF4818">
      <w:pPr>
        <w:pStyle w:val="CommentText"/>
      </w:pPr>
      <w:r>
        <w:rPr>
          <w:rStyle w:val="CommentReference"/>
        </w:rPr>
        <w:annotationRef/>
      </w:r>
      <w:r>
        <w:t xml:space="preserve">I split this into its own sentence because it detracted from the description of your topic. </w:t>
      </w:r>
    </w:p>
  </w:comment>
  <w:comment w:id="9" w:author="Katherine Ulrich" w:date="2023-11-03T14:10:00Z" w:initials="KU">
    <w:p w14:paraId="435C9B0C" w14:textId="77777777" w:rsidR="00516810" w:rsidRDefault="00516810" w:rsidP="00827FF9">
      <w:pPr>
        <w:pStyle w:val="CommentText"/>
      </w:pPr>
      <w:r>
        <w:rPr>
          <w:rStyle w:val="CommentReference"/>
        </w:rPr>
        <w:annotationRef/>
      </w:r>
      <w:r>
        <w:t>Ambiguous. Do you mean "religious traditions favored by royal and aristocratic people" or "</w:t>
      </w:r>
      <w:r>
        <w:rPr>
          <w:color w:val="000000"/>
        </w:rPr>
        <w:t>religious [or ritual?] traditions that were used to signal royal and political favor [for individuals and/or for the religious institutions/discourses/practices they espoused?]"</w:t>
      </w:r>
    </w:p>
  </w:comment>
  <w:comment w:id="10" w:author="Unknown Author" w:date="2023-10-19T07:57:00Z" w:initials="">
    <w:p w14:paraId="0568020B" w14:textId="77777777" w:rsidR="00A63A65" w:rsidRDefault="00000000">
      <w:r>
        <w:rPr>
          <w:rFonts w:ascii="Cambria" w:hAnsi="Cambria"/>
          <w:sz w:val="20"/>
        </w:rPr>
        <w:t>There are some problems with this formulation (would the scholars you cite agree that economic ends are necessarily “violent,” as you suggest?).</w:t>
      </w:r>
    </w:p>
  </w:comment>
  <w:comment w:id="11" w:author="Katherine Ulrich" w:date="2023-11-03T14:15:00Z" w:initials="KU">
    <w:p w14:paraId="5B685E86" w14:textId="77777777" w:rsidR="00216D93" w:rsidRDefault="00216D93" w:rsidP="008364AB">
      <w:pPr>
        <w:pStyle w:val="CommentText"/>
      </w:pPr>
      <w:r>
        <w:rPr>
          <w:rStyle w:val="CommentReference"/>
        </w:rPr>
        <w:annotationRef/>
      </w:r>
      <w:r>
        <w:t>I find myself wondering what they are being included/excluded from--the category of "Hindu"? Positions of political (or economic or social) influence or power?</w:t>
      </w:r>
    </w:p>
  </w:comment>
  <w:comment w:id="13" w:author="Katherine Ulrich" w:date="2023-11-03T14:17:00Z" w:initials="KU">
    <w:p w14:paraId="56E7A5D1" w14:textId="3010F052" w:rsidR="00216D93" w:rsidRDefault="00216D93" w:rsidP="00EA727E">
      <w:pPr>
        <w:pStyle w:val="CommentText"/>
      </w:pPr>
      <w:r>
        <w:rPr>
          <w:rStyle w:val="CommentReference"/>
        </w:rPr>
        <w:annotationRef/>
      </w:r>
      <w:r>
        <w:t>Not in References; please add.</w:t>
      </w:r>
    </w:p>
  </w:comment>
  <w:comment w:id="14" w:author="Katherine Ulrich" w:date="2023-11-03T14:20:00Z" w:initials="KU">
    <w:p w14:paraId="30B9A124" w14:textId="77777777" w:rsidR="00216D93" w:rsidRDefault="00216D93" w:rsidP="000223F9">
      <w:pPr>
        <w:pStyle w:val="CommentText"/>
      </w:pPr>
      <w:r>
        <w:rPr>
          <w:rStyle w:val="CommentReference"/>
        </w:rPr>
        <w:annotationRef/>
      </w:r>
      <w:r>
        <w:t>Not in References; please add. (And identify abbreviation, too, either at first use here or in References)</w:t>
      </w:r>
    </w:p>
  </w:comment>
  <w:comment w:id="17" w:author="Katherine Ulrich" w:date="2023-11-03T14:21:00Z" w:initials="KU">
    <w:p w14:paraId="785C16B2" w14:textId="77777777" w:rsidR="003928CD" w:rsidRDefault="00A77722" w:rsidP="00773F41">
      <w:pPr>
        <w:pStyle w:val="CommentText"/>
      </w:pPr>
      <w:r>
        <w:rPr>
          <w:rStyle w:val="CommentReference"/>
        </w:rPr>
        <w:annotationRef/>
      </w:r>
      <w:r w:rsidR="003928CD">
        <w:t>Title uses "Wodeyar" (no dot below d); variation OK? If not, which is correct? OK to standardize throughout?</w:t>
      </w:r>
    </w:p>
  </w:comment>
  <w:comment w:id="20" w:author="Unknown Author" w:date="2023-10-19T08:07:00Z" w:initials="">
    <w:p w14:paraId="02231FC4" w14:textId="4118E046" w:rsidR="00A63A65" w:rsidRDefault="00000000">
      <w:r>
        <w:rPr>
          <w:rFonts w:ascii="Cambria" w:hAnsi="Cambria"/>
          <w:sz w:val="20"/>
        </w:rPr>
        <w:t>Not sure what this means.</w:t>
      </w:r>
    </w:p>
  </w:comment>
  <w:comment w:id="21" w:author="Katherine Ulrich" w:date="2023-11-03T14:25:00Z" w:initials="KU">
    <w:p w14:paraId="003C72A1" w14:textId="77777777" w:rsidR="00E65D61" w:rsidRDefault="00E65D61" w:rsidP="007C3650">
      <w:pPr>
        <w:pStyle w:val="CommentText"/>
      </w:pPr>
      <w:r>
        <w:rPr>
          <w:rStyle w:val="CommentReference"/>
        </w:rPr>
        <w:annotationRef/>
      </w:r>
      <w:r>
        <w:t>Cf. earlier citation (</w:t>
      </w:r>
      <w:r>
        <w:rPr>
          <w:i/>
          <w:iCs/>
        </w:rPr>
        <w:t xml:space="preserve">REC </w:t>
      </w:r>
      <w:r>
        <w:t>My</w:t>
      </w:r>
      <w:r>
        <w:rPr>
          <w:highlight w:val="yellow"/>
        </w:rPr>
        <w:t>.</w:t>
      </w:r>
      <w:r>
        <w:t xml:space="preserve"> 99); add period here?</w:t>
      </w:r>
    </w:p>
  </w:comment>
  <w:comment w:id="22" w:author="Unknown Author" w:date="2023-10-19T08:08:00Z" w:initials="">
    <w:p w14:paraId="1886456C" w14:textId="39868909" w:rsidR="00A63A65" w:rsidRDefault="00000000">
      <w:r>
        <w:rPr>
          <w:rFonts w:ascii="Cambria" w:hAnsi="Cambria"/>
          <w:sz w:val="20"/>
        </w:rPr>
        <w:t>Cikkadevaraja’s?</w:t>
      </w:r>
    </w:p>
  </w:comment>
  <w:comment w:id="23" w:author="Unknown Author" w:date="2023-10-19T08:09:00Z" w:initials="">
    <w:p w14:paraId="722201F2" w14:textId="77777777" w:rsidR="00A63A65" w:rsidRDefault="00000000">
      <w:r>
        <w:rPr>
          <w:rFonts w:ascii="Cambria" w:hAnsi="Cambria"/>
          <w:sz w:val="20"/>
        </w:rPr>
        <w:t>? (the inscription has not been referred to in the text so far)</w:t>
      </w:r>
    </w:p>
  </w:comment>
  <w:comment w:id="24" w:author="Unknown Author" w:date="2023-10-19T08:09:00Z" w:initials="">
    <w:p w14:paraId="1DB19D39" w14:textId="77777777" w:rsidR="00A63A65" w:rsidRDefault="00000000">
      <w:r>
        <w:rPr>
          <w:rFonts w:ascii="Cambria" w:hAnsi="Cambria"/>
          <w:sz w:val="20"/>
        </w:rPr>
        <w:t>I am not really sure what this means.</w:t>
      </w:r>
    </w:p>
  </w:comment>
  <w:comment w:id="31" w:author="Unknown Author" w:date="2023-10-19T08:11:00Z" w:initials="">
    <w:p w14:paraId="41E9545F" w14:textId="77777777" w:rsidR="00A63A65" w:rsidRDefault="00000000">
      <w:r>
        <w:rPr>
          <w:rFonts w:ascii="Cambria" w:hAnsi="Cambria"/>
          <w:sz w:val="20"/>
        </w:rPr>
        <w:t>I assume that you mean all three, although Kamandaka and suka are not Srivaisnava in origin. Did he Srivaisnavize them?</w:t>
      </w:r>
    </w:p>
  </w:comment>
  <w:comment w:id="32" w:author="Katherine Ulrich" w:date="2023-11-03T14:35:00Z" w:initials="KU">
    <w:p w14:paraId="56C0AE0E" w14:textId="77777777" w:rsidR="00D11302" w:rsidRDefault="00D11302" w:rsidP="000661E2">
      <w:pPr>
        <w:pStyle w:val="CommentText"/>
      </w:pPr>
      <w:r>
        <w:rPr>
          <w:rStyle w:val="CommentReference"/>
        </w:rPr>
        <w:annotationRef/>
      </w:r>
      <w:r>
        <w:t>colonial-era? (I think of "colonial scholarship" as "British [or French, or whoever the colonial power was] scholarship")</w:t>
      </w:r>
    </w:p>
  </w:comment>
  <w:comment w:id="33" w:author="Katherine Ulrich" w:date="2023-11-03T14:36:00Z" w:initials="KU">
    <w:p w14:paraId="21CA27FE" w14:textId="77777777" w:rsidR="00D11302" w:rsidRDefault="00D11302" w:rsidP="00D54A05">
      <w:pPr>
        <w:pStyle w:val="CommentText"/>
      </w:pPr>
      <w:r>
        <w:rPr>
          <w:rStyle w:val="CommentReference"/>
        </w:rPr>
        <w:annotationRef/>
      </w:r>
      <w:r>
        <w:t>Reworded to avoid writing...writes repetition</w:t>
      </w:r>
    </w:p>
  </w:comment>
  <w:comment w:id="34" w:author="Katherine Ulrich" w:date="2023-11-03T14:42:00Z" w:initials="KU">
    <w:p w14:paraId="5B62DDEC" w14:textId="77777777" w:rsidR="00AB1D30" w:rsidRDefault="00EA2C47" w:rsidP="0080430E">
      <w:pPr>
        <w:pStyle w:val="CommentText"/>
      </w:pPr>
      <w:r>
        <w:rPr>
          <w:rStyle w:val="CommentReference"/>
        </w:rPr>
        <w:annotationRef/>
      </w:r>
      <w:r w:rsidR="00AB1D30">
        <w:t>Not clear if the quote marks mean you doubt the identification or if they mean that is the label Devacandra used. Consider rewording to clarify. If the former, that probably would mean a footnote; if the latter, then maybe reword as something like "from three different religious traditions explicitly identified by Dēvacandra: Tirumalārya (a guru described as "Śrī Vaiṣṇava"), Ṣaḍakṣariya ("Vīraśaiva"), and Viśalākṣa ("Jain")." [Given your topic of religious identity, I think it is actually quite helpful to know what labels Dēvacandra was using.]</w:t>
      </w:r>
    </w:p>
  </w:comment>
  <w:comment w:id="35" w:author="Unknown Author" w:date="2023-10-28T18:18:00Z" w:initials="">
    <w:p w14:paraId="2F5690FC" w14:textId="52BCBECB" w:rsidR="00A63A65" w:rsidRDefault="00000000">
      <w:pPr>
        <w:overflowPunct w:val="0"/>
      </w:pPr>
      <w:r>
        <w:rPr>
          <w:sz w:val="20"/>
        </w:rPr>
        <w:t>Is this the right verb?</w:t>
      </w:r>
    </w:p>
  </w:comment>
  <w:comment w:id="36" w:author="Katherine Ulrich" w:date="2023-11-11T12:43:00Z" w:initials="KU">
    <w:p w14:paraId="2B3A9631" w14:textId="77777777" w:rsidR="00093A3D" w:rsidRDefault="00093A3D" w:rsidP="00093A3D">
      <w:pPr>
        <w:pStyle w:val="CommentText"/>
      </w:pPr>
      <w:r>
        <w:rPr>
          <w:rStyle w:val="CommentReference"/>
        </w:rPr>
        <w:annotationRef/>
      </w:r>
      <w:r>
        <w:t>I think maybe this information should be moved to the first mention of this source (p. 6)</w:t>
      </w:r>
    </w:p>
  </w:comment>
  <w:comment w:id="37" w:author="Katherine Ulrich" w:date="2023-11-11T12:54:00Z" w:initials="KU">
    <w:p w14:paraId="01A0AE72" w14:textId="77777777" w:rsidR="00093A3D" w:rsidRDefault="00093A3D" w:rsidP="00093A3D">
      <w:pPr>
        <w:pStyle w:val="CommentText"/>
      </w:pPr>
      <w:r>
        <w:rPr>
          <w:rStyle w:val="CommentReference"/>
        </w:rPr>
        <w:annotationRef/>
      </w:r>
      <w:r>
        <w:t>Since Devacandra was patronized by them, I find myself curious about what Mackenzie/the Survey would have expected from him. To what extent was Devacandra's account shaped by his client? (I'm not a colonial-era historian, so I'm kind of vague on what exactly the Survey wanted their Indian employees to write about--in particular, to what extent the British wanted to know about religious groups and to what extent British categories/labels for religious groups would shape Devacandra's narrative?)</w:t>
      </w:r>
    </w:p>
  </w:comment>
  <w:comment w:id="38" w:author="Katherine Ulrich" w:date="2023-11-11T12:02:00Z" w:initials="KU">
    <w:p w14:paraId="15D3E45A" w14:textId="77777777" w:rsidR="00717CDE" w:rsidRDefault="00717CDE" w:rsidP="0069044B">
      <w:pPr>
        <w:pStyle w:val="CommentText"/>
      </w:pPr>
      <w:r>
        <w:rPr>
          <w:rStyle w:val="CommentReference"/>
        </w:rPr>
        <w:annotationRef/>
      </w:r>
      <w:r>
        <w:t>Cf. earlier spelling, Viś</w:t>
      </w:r>
      <w:r>
        <w:rPr>
          <w:highlight w:val="yellow"/>
        </w:rPr>
        <w:t>a</w:t>
      </w:r>
      <w:r>
        <w:t>lākṣa; which is correct?</w:t>
      </w:r>
    </w:p>
  </w:comment>
  <w:comment w:id="39" w:author="Katherine Ulrich" w:date="2023-11-03T14:45:00Z" w:initials="KU">
    <w:p w14:paraId="7392F5FD" w14:textId="77777777" w:rsidR="00BC5690" w:rsidRDefault="00EA2C47" w:rsidP="0062157B">
      <w:pPr>
        <w:pStyle w:val="CommentText"/>
      </w:pPr>
      <w:r>
        <w:rPr>
          <w:rStyle w:val="CommentReference"/>
        </w:rPr>
        <w:annotationRef/>
      </w:r>
      <w:r w:rsidR="00BC5690">
        <w:t xml:space="preserve">First mention of this label. I think maybe you need to say more about its history, too. Was it being used interchangeably with Vīraśaiva? Lingayata? Both? I also find myself wondering, </w:t>
      </w:r>
      <w:r w:rsidR="00BC5690">
        <w:rPr>
          <w:color w:val="000000"/>
        </w:rPr>
        <w:t>when people used "</w:t>
      </w:r>
      <w:r w:rsidR="00BC5690">
        <w:rPr>
          <w:i/>
          <w:iCs/>
          <w:color w:val="000000"/>
        </w:rPr>
        <w:t>jaṅgama</w:t>
      </w:r>
      <w:r w:rsidR="00BC5690">
        <w:rPr>
          <w:color w:val="000000"/>
        </w:rPr>
        <w:t xml:space="preserve">" would that be defining the group as more--or less?--of being "outsiders" than terms like </w:t>
      </w:r>
      <w:r w:rsidR="00BC5690">
        <w:t>Vīraśaiva?</w:t>
      </w:r>
    </w:p>
  </w:comment>
  <w:comment w:id="40" w:author="Katherine Ulrich" w:date="2023-11-11T12:13:00Z" w:initials="KU">
    <w:p w14:paraId="784F027B" w14:textId="2C3EA310" w:rsidR="00B514E3" w:rsidRDefault="009B1FCC" w:rsidP="00B36F1D">
      <w:pPr>
        <w:pStyle w:val="CommentText"/>
      </w:pPr>
      <w:r>
        <w:rPr>
          <w:rStyle w:val="CommentReference"/>
        </w:rPr>
        <w:annotationRef/>
      </w:r>
      <w:r w:rsidR="00B514E3">
        <w:t>Colonial, or colonial-era? (I think of "colonial sources" as European (or British) sources, and "colonial-era" as either Indian or European...and it would be an important distinction to make, if you were talking only about just the European sources)</w:t>
      </w:r>
    </w:p>
  </w:comment>
  <w:comment w:id="41" w:author="Katherine Ulrich" w:date="2023-11-11T12:08:00Z" w:initials="KU">
    <w:p w14:paraId="2DD198F4" w14:textId="77777777" w:rsidR="00FA4A85" w:rsidRDefault="000E437B">
      <w:pPr>
        <w:pStyle w:val="CommentText"/>
      </w:pPr>
      <w:r>
        <w:rPr>
          <w:rStyle w:val="CommentReference"/>
        </w:rPr>
        <w:annotationRef/>
      </w:r>
      <w:r w:rsidR="00FA4A85">
        <w:t xml:space="preserve">Śrī Vaiṣṇava? (My understanding is that Śrī Vaiṣṇavas are a specific sect of Vaiṣṇavas, just as Vīraśaivas are a specific sect of Śaivas. I think this made me stop reading because I found myself wondering if the colonial sources were treating "Vaiṣṇava" and "Śrī Vaiṣṇava" as interchangeable but NOT "Vīraśaivas" and "Śaivas"? If they were, that seems worth discussing--is there a reason that Vīraśaivas were viewed differently? </w:t>
      </w:r>
    </w:p>
    <w:p w14:paraId="5CE5893A" w14:textId="77777777" w:rsidR="00FA4A85" w:rsidRDefault="00FA4A85">
      <w:pPr>
        <w:pStyle w:val="CommentText"/>
      </w:pPr>
    </w:p>
    <w:p w14:paraId="3DB30BB8" w14:textId="77777777" w:rsidR="00FA4A85" w:rsidRDefault="00FA4A85" w:rsidP="0010543A">
      <w:pPr>
        <w:pStyle w:val="CommentText"/>
      </w:pPr>
      <w:r>
        <w:t xml:space="preserve">Another point here is that you've only quoted one source, the Jain one, for the 2 "Hindu" traditions being regarded as equally distant from each other. I think I'd want to see at least one more example, from a non-Jain source--either "Hindu" or European or preferably both--before I'd be persuaded by this claim. With just the Jain source, I feel like you can make an argument for how that Jain author viewed the "Hindu" sects, but I don't think that can be read as evidence for how "Hindus" and British officials/missionaries viewed them. </w:t>
      </w:r>
    </w:p>
  </w:comment>
  <w:comment w:id="42" w:author="Katherine Ulrich" w:date="2023-11-11T12:09:00Z" w:initials="KU">
    <w:p w14:paraId="0FB509C2" w14:textId="4529894B" w:rsidR="000E437B" w:rsidRDefault="000E437B" w:rsidP="00CB20F2">
      <w:pPr>
        <w:pStyle w:val="CommentText"/>
      </w:pPr>
      <w:r>
        <w:rPr>
          <w:rStyle w:val="CommentReference"/>
        </w:rPr>
        <w:annotationRef/>
      </w:r>
      <w:r>
        <w:t>Earlier, "Jain"; should be standardized one way or the other.</w:t>
      </w:r>
    </w:p>
  </w:comment>
  <w:comment w:id="43" w:author="Unknown Author" w:date="2023-10-28T18:36:00Z" w:initials="">
    <w:p w14:paraId="3F5F6603" w14:textId="77777777" w:rsidR="00A63A65" w:rsidRDefault="00000000">
      <w:pPr>
        <w:overflowPunct w:val="0"/>
      </w:pPr>
      <w:r>
        <w:rPr>
          <w:sz w:val="20"/>
        </w:rPr>
        <w:t>Sic?</w:t>
      </w:r>
    </w:p>
  </w:comment>
  <w:comment w:id="44" w:author="Katherine Ulrich" w:date="2023-11-11T12:30:00Z" w:initials="KU">
    <w:p w14:paraId="321C79E2" w14:textId="77777777" w:rsidR="00BC5690" w:rsidRDefault="00BC5690" w:rsidP="00C73670">
      <w:pPr>
        <w:pStyle w:val="CommentText"/>
      </w:pPr>
      <w:r>
        <w:rPr>
          <w:rStyle w:val="CommentReference"/>
        </w:rPr>
        <w:annotationRef/>
      </w:r>
      <w:r>
        <w:t>If this is also your translation, please add "</w:t>
      </w:r>
      <w:r>
        <w:rPr>
          <w:color w:val="000000"/>
        </w:rPr>
        <w:t>; my translation"</w:t>
      </w:r>
    </w:p>
  </w:comment>
  <w:comment w:id="45" w:author="Katherine Ulrich" w:date="2023-11-11T12:35:00Z" w:initials="KU">
    <w:p w14:paraId="53BB2641" w14:textId="77777777" w:rsidR="00935265" w:rsidRDefault="00935265" w:rsidP="0060030D">
      <w:pPr>
        <w:pStyle w:val="CommentText"/>
      </w:pPr>
      <w:r>
        <w:rPr>
          <w:rStyle w:val="CommentReference"/>
        </w:rPr>
        <w:annotationRef/>
      </w:r>
      <w:r>
        <w:t>Not on Reference List. Do you mean Dēvacandra?</w:t>
      </w:r>
    </w:p>
  </w:comment>
  <w:comment w:id="46" w:author="Katherine Ulrich" w:date="2023-11-11T12:46:00Z" w:initials="KU">
    <w:p w14:paraId="67F0A195" w14:textId="78CE41D5" w:rsidR="00C66C8D" w:rsidRDefault="00C66C8D" w:rsidP="00D406D8">
      <w:pPr>
        <w:pStyle w:val="CommentText"/>
      </w:pPr>
      <w:r>
        <w:rPr>
          <w:rStyle w:val="CommentReference"/>
        </w:rPr>
        <w:annotationRef/>
      </w:r>
      <w:r>
        <w:t xml:space="preserve">It isn't clear to me what Wilks's sectarian perspective is. Was he a Protestant? Or are you referring to the influence of </w:t>
      </w:r>
      <w:r>
        <w:rPr>
          <w:color w:val="000000"/>
        </w:rPr>
        <w:t xml:space="preserve">Liṅgāyata sources, mentioned earlier? </w:t>
      </w:r>
    </w:p>
  </w:comment>
  <w:comment w:id="47" w:author="Katherine Ulrich" w:date="2023-11-11T13:19:00Z" w:initials="KU">
    <w:p w14:paraId="12AAAD5B" w14:textId="77777777" w:rsidR="005D5259" w:rsidRDefault="00A17CFA">
      <w:pPr>
        <w:pStyle w:val="CommentText"/>
      </w:pPr>
      <w:r>
        <w:rPr>
          <w:rStyle w:val="CommentReference"/>
        </w:rPr>
        <w:annotationRef/>
      </w:r>
      <w:r w:rsidR="005D5259">
        <w:t>I'm a little confused, since later you relate how Devacandra says "</w:t>
      </w:r>
      <w:r w:rsidR="005D5259">
        <w:rPr>
          <w:color w:val="000000"/>
        </w:rPr>
        <w:t xml:space="preserve">Liṅgāyat </w:t>
      </w:r>
      <w:r w:rsidR="005D5259">
        <w:rPr>
          <w:i/>
          <w:iCs/>
          <w:color w:val="000000"/>
        </w:rPr>
        <w:t>woḍeyars</w:t>
      </w:r>
      <w:r w:rsidR="005D5259">
        <w:rPr>
          <w:color w:val="000000"/>
        </w:rPr>
        <w:t xml:space="preserve"> wanted the title to themselves"--suggesting that maybe the title was not adopted after all? Was the issue that the Lingayatas were claiming the title but no one was using it? Or that they were claiming the title, no one cared, but when they said no one else could use it, then this was regarded as a challenge to royal authority?</w:t>
      </w:r>
    </w:p>
    <w:p w14:paraId="38C93D2C" w14:textId="77777777" w:rsidR="005D5259" w:rsidRDefault="005D5259">
      <w:pPr>
        <w:pStyle w:val="CommentText"/>
      </w:pPr>
    </w:p>
    <w:p w14:paraId="5F426082" w14:textId="77777777" w:rsidR="005D5259" w:rsidRDefault="005D5259" w:rsidP="0061365E">
      <w:pPr>
        <w:pStyle w:val="CommentText"/>
      </w:pPr>
      <w:r>
        <w:rPr>
          <w:color w:val="000000"/>
        </w:rPr>
        <w:t>I am also wondering if this means "</w:t>
      </w:r>
      <w:r>
        <w:rPr>
          <w:i/>
          <w:iCs/>
          <w:color w:val="000000"/>
        </w:rPr>
        <w:t>woḍeyar</w:t>
      </w:r>
      <w:r>
        <w:rPr>
          <w:color w:val="000000"/>
        </w:rPr>
        <w:t>" is--like Virasaiva, Lingayata, jangama--yet another term used (in 19th century sources? In later or earlier sources?) as a religious label, and if so, how it compares to those other 3 terms with regard to the issue of insider vs. outsider….? Were Virasaivas themselves--either ordinary folks or community leaders--more or less likely to use wodeyar or Virasaiva or Lingayata or jangama as a term of self-identification? This seems like it would be a useful point to make, given the framing of the article as being about religious identity.</w:t>
      </w:r>
    </w:p>
  </w:comment>
  <w:comment w:id="48" w:author="Unknown Author" w:date="2023-10-28T18:48:00Z" w:initials="">
    <w:p w14:paraId="49D95F0D" w14:textId="7E294C8A" w:rsidR="00A63A65" w:rsidRDefault="00000000">
      <w:pPr>
        <w:overflowPunct w:val="0"/>
      </w:pPr>
      <w:r>
        <w:rPr>
          <w:sz w:val="20"/>
        </w:rPr>
        <w:t>Your usual practice is to hyphenate Virashaiva-Lingayat, which makes me think you are doing something else in this sentence (and the following paragraph).</w:t>
      </w:r>
    </w:p>
  </w:comment>
  <w:comment w:id="49" w:author="Katherine Ulrich" w:date="2023-11-11T13:27:00Z" w:initials="KU">
    <w:p w14:paraId="79D54D79" w14:textId="77777777" w:rsidR="00A57E1E" w:rsidRDefault="00FB611B" w:rsidP="002C7AEE">
      <w:pPr>
        <w:pStyle w:val="CommentText"/>
      </w:pPr>
      <w:r>
        <w:rPr>
          <w:rStyle w:val="CommentReference"/>
        </w:rPr>
        <w:annotationRef/>
      </w:r>
      <w:r w:rsidR="00A57E1E">
        <w:t>Is the rest of this paragraph just in Devacandra, too, or does Wilks agree with some of it? Oh, I see, the next paragraph gives Wilks's version. You might add citations, either at each sentence or at the end of the paragraph, which would make this clear (and be useful for scholars wanting to look at the original wording).</w:t>
      </w:r>
    </w:p>
  </w:comment>
  <w:comment w:id="50" w:author="Unknown Author" w:date="2023-10-28T18:50:00Z" w:initials="">
    <w:p w14:paraId="448DF37A" w14:textId="77777777" w:rsidR="00E14FD7" w:rsidRDefault="00E14FD7" w:rsidP="00E14FD7">
      <w:pPr>
        <w:overflowPunct w:val="0"/>
      </w:pPr>
      <w:r>
        <w:rPr>
          <w:sz w:val="20"/>
        </w:rPr>
        <w:t>Presumably to themselves?</w:t>
      </w:r>
    </w:p>
  </w:comment>
  <w:comment w:id="51" w:author="Unknown Author" w:date="2023-10-28T18:50:00Z" w:initials="">
    <w:p w14:paraId="33204705" w14:textId="4A399DFF" w:rsidR="00A63A65" w:rsidRDefault="00000000">
      <w:pPr>
        <w:overflowPunct w:val="0"/>
      </w:pPr>
      <w:r>
        <w:rPr>
          <w:sz w:val="20"/>
        </w:rPr>
        <w:t>Presumably to themselves?</w:t>
      </w:r>
    </w:p>
  </w:comment>
  <w:comment w:id="52" w:author="Katherine Ulrich" w:date="2023-11-11T13:32:00Z" w:initials="KU">
    <w:p w14:paraId="21719F64" w14:textId="77777777" w:rsidR="00FF3A3E" w:rsidRDefault="00FF3A3E" w:rsidP="009A4D15">
      <w:pPr>
        <w:pStyle w:val="CommentText"/>
      </w:pPr>
      <w:r>
        <w:rPr>
          <w:rStyle w:val="CommentReference"/>
        </w:rPr>
        <w:annotationRef/>
      </w:r>
      <w:r>
        <w:t>I'd add a citation here, too.</w:t>
      </w:r>
    </w:p>
  </w:comment>
  <w:comment w:id="53" w:author="Unknown Author" w:date="2023-10-28T18:55:00Z" w:initials="">
    <w:p w14:paraId="785167B9" w14:textId="53ACADDF" w:rsidR="00A63A65" w:rsidRDefault="00000000">
      <w:pPr>
        <w:overflowPunct w:val="0"/>
      </w:pPr>
      <w:r>
        <w:rPr>
          <w:sz w:val="20"/>
        </w:rPr>
        <w:t>Perhaps this is not right, but some reference to the source seems necessary here.</w:t>
      </w:r>
    </w:p>
  </w:comment>
  <w:comment w:id="54" w:author="Katherine Ulrich" w:date="2023-11-11T13:32:00Z" w:initials="KU">
    <w:p w14:paraId="7B0A7557" w14:textId="77777777" w:rsidR="00787978" w:rsidRDefault="00787978" w:rsidP="00A617F9">
      <w:pPr>
        <w:pStyle w:val="CommentText"/>
      </w:pPr>
      <w:r>
        <w:rPr>
          <w:rStyle w:val="CommentReference"/>
        </w:rPr>
        <w:annotationRef/>
      </w:r>
      <w:r>
        <w:t>So...nothing about the assassination of the Jain prime minister?</w:t>
      </w:r>
    </w:p>
  </w:comment>
  <w:comment w:id="55" w:author="Katherine Ulrich" w:date="2023-11-11T13:35:00Z" w:initials="KU">
    <w:p w14:paraId="1F850F91" w14:textId="77777777" w:rsidR="00E2352F" w:rsidRDefault="003431E6" w:rsidP="00452EE2">
      <w:pPr>
        <w:pStyle w:val="CommentText"/>
      </w:pPr>
      <w:r>
        <w:rPr>
          <w:rStyle w:val="CommentReference"/>
        </w:rPr>
        <w:annotationRef/>
      </w:r>
      <w:r w:rsidR="00E2352F">
        <w:t>I think, given the topic of your article, it might be worth actually quoting the language of the inscription. I say this because it would be a 17th-century source indicating sectarian identities and excluding non-Sri Vaishnavas. I'm also finding myself wondering if there are any 17th century sources attesting to the wholesale slaughter of Virashaivas? Indeed, if there are NOT any 17th-century sources, then it seems even more significant that people in the 19th century were relating such stories. And is there any significance in the fact that the people relating those stories were not themselves Virashaiva? I might speculate that the British had a vested insterest in portraying communal violence (as it was used as a pretext for the colonial endeavor). Does Devacandra's Jain identity color his portrayal of violence among non-Jains?</w:t>
      </w:r>
    </w:p>
  </w:comment>
  <w:comment w:id="56" w:author="Katherine Ulrich" w:date="2023-11-11T13:48:00Z" w:initials="KU">
    <w:p w14:paraId="3850383C" w14:textId="77777777" w:rsidR="007B7897" w:rsidRDefault="007B7897" w:rsidP="006001D7">
      <w:pPr>
        <w:pStyle w:val="CommentText"/>
      </w:pPr>
      <w:r>
        <w:rPr>
          <w:rStyle w:val="CommentReference"/>
        </w:rPr>
        <w:annotationRef/>
      </w:r>
      <w:r>
        <w:t>Source for this?</w:t>
      </w:r>
    </w:p>
  </w:comment>
  <w:comment w:id="57" w:author="Unknown Author" w:date="2023-10-28T18:59:00Z" w:initials="">
    <w:p w14:paraId="66052D66" w14:textId="38B71189" w:rsidR="00A63A65" w:rsidRDefault="00000000">
      <w:pPr>
        <w:overflowPunct w:val="0"/>
      </w:pPr>
      <w:r>
        <w:rPr>
          <w:sz w:val="20"/>
        </w:rPr>
        <w:t>This is a somewhat weak conclusion, and I’m not sure what we’re supposed to make of it.</w:t>
      </w:r>
    </w:p>
  </w:comment>
  <w:comment w:id="58" w:author="Katherine Ulrich" w:date="2023-11-11T13:56:00Z" w:initials="KU">
    <w:p w14:paraId="512BE004" w14:textId="77777777" w:rsidR="002B0E62" w:rsidRDefault="002B0E62" w:rsidP="00584B8E">
      <w:pPr>
        <w:pStyle w:val="CommentText"/>
      </w:pPr>
      <w:r>
        <w:rPr>
          <w:rStyle w:val="CommentReference"/>
        </w:rPr>
        <w:annotationRef/>
      </w:r>
      <w:r>
        <w:t>Was proclaimed (by whom?) or proclaimed himself?</w:t>
      </w:r>
    </w:p>
  </w:comment>
  <w:comment w:id="59" w:author="Katherine Ulrich" w:date="2023-11-11T14:14:00Z" w:initials="KU">
    <w:p w14:paraId="70B3DBF9" w14:textId="77777777" w:rsidR="006E017B" w:rsidRDefault="006E017B" w:rsidP="003E7D98">
      <w:pPr>
        <w:pStyle w:val="CommentText"/>
      </w:pPr>
      <w:r>
        <w:rPr>
          <w:rStyle w:val="CommentReference"/>
        </w:rPr>
        <w:annotationRef/>
      </w:r>
      <w:r>
        <w:t>Should not? (You seem to imply that everyone does understate it…)</w:t>
      </w:r>
    </w:p>
  </w:comment>
  <w:comment w:id="60" w:author="Katherine Ulrich" w:date="2023-11-11T13:58:00Z" w:initials="KU">
    <w:p w14:paraId="2475AEB9" w14:textId="64F060F8" w:rsidR="00A20C43" w:rsidRDefault="00A20C43" w:rsidP="001B27C3">
      <w:pPr>
        <w:pStyle w:val="CommentText"/>
      </w:pPr>
      <w:r>
        <w:rPr>
          <w:rStyle w:val="CommentReference"/>
        </w:rPr>
        <w:annotationRef/>
      </w:r>
      <w:r>
        <w:t>Referent unclear.</w:t>
      </w:r>
    </w:p>
  </w:comment>
  <w:comment w:id="61" w:author="Katherine Ulrich" w:date="2023-11-11T13:59:00Z" w:initials="KU">
    <w:p w14:paraId="2CDC432E" w14:textId="77777777" w:rsidR="00A07628" w:rsidRDefault="00A07628" w:rsidP="00FB30D6">
      <w:pPr>
        <w:pStyle w:val="CommentText"/>
      </w:pPr>
      <w:r>
        <w:rPr>
          <w:rStyle w:val="CommentReference"/>
        </w:rPr>
        <w:annotationRef/>
      </w:r>
      <w:r>
        <w:t>Earlier, Basappa, and in the next sentence, Basava. Please standardize (providing variants in parentheses at first mention if needed).</w:t>
      </w:r>
    </w:p>
  </w:comment>
  <w:comment w:id="62" w:author="Unknown Author" w:date="2023-10-28T19:14:00Z" w:initials="">
    <w:p w14:paraId="6FAB925F" w14:textId="00165D6C" w:rsidR="00A63A65" w:rsidRDefault="00000000">
      <w:pPr>
        <w:overflowPunct w:val="0"/>
      </w:pPr>
      <w:r>
        <w:rPr>
          <w:sz w:val="20"/>
        </w:rPr>
        <w:t>Is it Śāradamalla or Śāradāmalla?</w:t>
      </w:r>
    </w:p>
  </w:comment>
  <w:comment w:id="63" w:author="Katherine Ulrich" w:date="2023-11-11T14:00:00Z" w:initials="KU">
    <w:p w14:paraId="54F0CEA0" w14:textId="39793102" w:rsidR="00214F99" w:rsidRDefault="00214F99" w:rsidP="00DE624B">
      <w:pPr>
        <w:pStyle w:val="CommentText"/>
      </w:pPr>
      <w:r>
        <w:rPr>
          <w:rStyle w:val="CommentReference"/>
        </w:rPr>
        <w:annotationRef/>
      </w:r>
      <w:r>
        <w:t>Delete 1st Mysore?</w:t>
      </w:r>
    </w:p>
  </w:comment>
  <w:comment w:id="64" w:author="Katherine Ulrich" w:date="2023-11-11T14:09:00Z" w:initials="KU">
    <w:p w14:paraId="7BDFFE6F" w14:textId="77777777" w:rsidR="00D545E6" w:rsidRDefault="005473DF" w:rsidP="00C80919">
      <w:pPr>
        <w:pStyle w:val="CommentText"/>
      </w:pPr>
      <w:r>
        <w:rPr>
          <w:rStyle w:val="CommentReference"/>
        </w:rPr>
        <w:annotationRef/>
      </w:r>
      <w:r w:rsidR="00D545E6">
        <w:t>Do agree? And it would be helpful to know what the sources are for this claim. (Given your deep dive into Devacandra and Wilks, it seems unbalanced to me to base this section on Stein rather than on primary sources).</w:t>
      </w:r>
    </w:p>
  </w:comment>
  <w:comment w:id="65" w:author="Katherine Ulrich" w:date="2023-11-11T14:12:00Z" w:initials="KU">
    <w:p w14:paraId="2677C279" w14:textId="77777777" w:rsidR="00967831" w:rsidRDefault="00967831" w:rsidP="00B67A6E">
      <w:pPr>
        <w:pStyle w:val="CommentText"/>
      </w:pPr>
      <w:r>
        <w:rPr>
          <w:rStyle w:val="CommentReference"/>
        </w:rPr>
        <w:annotationRef/>
      </w:r>
      <w:r>
        <w:t xml:space="preserve">Probably worth citing. Does it say anything about religion? </w:t>
      </w:r>
    </w:p>
  </w:comment>
  <w:comment w:id="66" w:author="Katherine Ulrich" w:date="2023-11-11T14:15:00Z" w:initials="KU">
    <w:p w14:paraId="268AEB54" w14:textId="77777777" w:rsidR="00442F75" w:rsidRDefault="00442F75" w:rsidP="00E24E9B">
      <w:pPr>
        <w:pStyle w:val="CommentText"/>
      </w:pPr>
      <w:r>
        <w:rPr>
          <w:rStyle w:val="CommentReference"/>
        </w:rPr>
        <w:annotationRef/>
      </w:r>
      <w:r>
        <w:t>Add citation?</w:t>
      </w:r>
    </w:p>
  </w:comment>
  <w:comment w:id="67" w:author="Katherine Ulrich" w:date="2023-11-11T14:16:00Z" w:initials="KU">
    <w:p w14:paraId="760CD04A" w14:textId="77777777" w:rsidR="00453156" w:rsidRDefault="00453156" w:rsidP="005E5108">
      <w:pPr>
        <w:pStyle w:val="CommentText"/>
      </w:pPr>
      <w:r>
        <w:rPr>
          <w:rStyle w:val="CommentReference"/>
        </w:rPr>
        <w:annotationRef/>
      </w:r>
      <w:r>
        <w:t xml:space="preserve">Please clarify what the quote marks mean here. Did he actually self-identify as Hindu? </w:t>
      </w:r>
    </w:p>
  </w:comment>
  <w:comment w:id="68" w:author="Katherine Ulrich" w:date="2023-11-11T14:17:00Z" w:initials="KU">
    <w:p w14:paraId="304C1FE4" w14:textId="77777777" w:rsidR="00667E72" w:rsidRDefault="00667E72" w:rsidP="00B36EC3">
      <w:pPr>
        <w:pStyle w:val="CommentText"/>
      </w:pPr>
      <w:r>
        <w:rPr>
          <w:rStyle w:val="CommentReference"/>
        </w:rPr>
        <w:annotationRef/>
      </w:r>
      <w:r>
        <w:t>If this phrase was used by Krnaraja, then I'd include a citation to the primary source here.</w:t>
      </w:r>
    </w:p>
  </w:comment>
  <w:comment w:id="69" w:author="Katherine Ulrich" w:date="2023-11-11T14:32:00Z" w:initials="KU">
    <w:p w14:paraId="6E9C1495" w14:textId="77777777" w:rsidR="00DD13AA" w:rsidRDefault="00DD13AA" w:rsidP="00422E2A">
      <w:pPr>
        <w:pStyle w:val="CommentText"/>
      </w:pPr>
      <w:r>
        <w:rPr>
          <w:rStyle w:val="CommentReference"/>
        </w:rPr>
        <w:annotationRef/>
      </w:r>
      <w:r>
        <w:t>Śiva?</w:t>
      </w:r>
    </w:p>
  </w:comment>
  <w:comment w:id="70" w:author="Katherine Ulrich" w:date="2023-11-11T14:36:00Z" w:initials="KU">
    <w:p w14:paraId="6C13DEA3" w14:textId="77777777" w:rsidR="00764265" w:rsidRDefault="00764265" w:rsidP="00C70588">
      <w:pPr>
        <w:pStyle w:val="CommentText"/>
      </w:pPr>
      <w:r>
        <w:rPr>
          <w:rStyle w:val="CommentReference"/>
        </w:rPr>
        <w:annotationRef/>
      </w:r>
      <w:r>
        <w:t>Wow, the same temple!? That surely isn't accidental. Does this temple play a big role in other historical accounts? Do other kings use it as a key setting for positioning themselves vis-a-vis Shiva and/or the Shaiva religious community?</w:t>
      </w:r>
    </w:p>
  </w:comment>
  <w:comment w:id="71" w:author="Katherine Ulrich" w:date="2023-11-11T14:39:00Z" w:initials="KU">
    <w:p w14:paraId="225556E3" w14:textId="77777777" w:rsidR="009A4213" w:rsidRDefault="009A4213" w:rsidP="0085454D">
      <w:pPr>
        <w:pStyle w:val="CommentText"/>
      </w:pPr>
      <w:r>
        <w:rPr>
          <w:rStyle w:val="CommentReference"/>
        </w:rPr>
        <w:annotationRef/>
      </w:r>
      <w:r>
        <w:t xml:space="preserve">If the </w:t>
      </w:r>
      <w:r>
        <w:rPr>
          <w:i/>
          <w:iCs/>
        </w:rPr>
        <w:t>Śrīmanmahārājavara Vaṃśāvaḷi</w:t>
      </w:r>
      <w:r>
        <w:t xml:space="preserve"> is using "jangama" then is it really the "Vīraśaiva-Liṅgāyata tradition" at the center--or is it </w:t>
      </w:r>
      <w:r>
        <w:rPr>
          <w:i/>
          <w:iCs/>
        </w:rPr>
        <w:t>jangama</w:t>
      </w:r>
      <w:r>
        <w:t xml:space="preserve"> mendicants (or Shiva himself)? I ask because you raised questions of identity in the article, so...it seems important to know what terms the source is using. </w:t>
      </w:r>
    </w:p>
  </w:comment>
  <w:comment w:id="72" w:author="Katherine Ulrich" w:date="2023-11-11T14:39:00Z" w:initials="KU">
    <w:p w14:paraId="3525F16F" w14:textId="77777777" w:rsidR="003A124B" w:rsidRDefault="003A124B" w:rsidP="002B45AB">
      <w:pPr>
        <w:pStyle w:val="CommentText"/>
      </w:pPr>
      <w:r>
        <w:rPr>
          <w:rStyle w:val="CommentReference"/>
        </w:rPr>
        <w:annotationRef/>
      </w:r>
      <w:r>
        <w:t>I'm wondering what this is replacing?</w:t>
      </w:r>
    </w:p>
  </w:comment>
  <w:comment w:id="73" w:author="Katherine Ulrich" w:date="2023-11-11T14:45:00Z" w:initials="KU">
    <w:p w14:paraId="23639E6C" w14:textId="77777777" w:rsidR="00A02034" w:rsidRDefault="00A02034" w:rsidP="006C4D93">
      <w:pPr>
        <w:pStyle w:val="CommentText"/>
      </w:pPr>
      <w:r>
        <w:rPr>
          <w:rStyle w:val="CommentReference"/>
        </w:rPr>
        <w:annotationRef/>
      </w:r>
      <w:r>
        <w:t>I'm fascinated by the fact that rather than focusing on devotion to or rituals for Shiva, the account points to the "name Wodeyar" and a color for the flag, suggesting that religious identity is not bound to theological ideas, ritual practices, or devotional affect. Not sure how one could characterize the title and the flag instead, but it does seem like a point of contrast. (Cf., for instance, the requirement of a Shri Vaishnava forehead mark to appear in the earlier court).</w:t>
      </w:r>
    </w:p>
  </w:comment>
  <w:comment w:id="74" w:author="Katherine Ulrich" w:date="2023-11-11T14:54:00Z" w:initials="KU">
    <w:p w14:paraId="51451FDC" w14:textId="77777777" w:rsidR="003F78EC" w:rsidRDefault="003F78EC" w:rsidP="003948D4">
      <w:pPr>
        <w:pStyle w:val="CommentText"/>
      </w:pPr>
      <w:r>
        <w:rPr>
          <w:rStyle w:val="CommentReference"/>
        </w:rPr>
        <w:annotationRef/>
      </w:r>
      <w:r>
        <w:t>I'd reword to "As mentioned earlier, the term</w:t>
      </w:r>
      <w:r>
        <w:rPr>
          <w:i/>
          <w:iCs/>
        </w:rPr>
        <w:t xml:space="preserve">…" </w:t>
      </w:r>
      <w:r>
        <w:t>because you don't spend a lot of time on the history of the term. (I stopped reading here, thinking--wait, did I skip that section…?)</w:t>
      </w:r>
    </w:p>
  </w:comment>
  <w:comment w:id="75" w:author="Katherine Ulrich" w:date="2023-11-11T15:19:00Z" w:initials="KU">
    <w:p w14:paraId="1042E4DA" w14:textId="77777777" w:rsidR="0002225B" w:rsidRDefault="0002225B" w:rsidP="00ED5B71">
      <w:pPr>
        <w:pStyle w:val="CommentText"/>
      </w:pPr>
      <w:r>
        <w:rPr>
          <w:rStyle w:val="CommentReference"/>
        </w:rPr>
        <w:annotationRef/>
      </w:r>
      <w:r>
        <w:t>Details about the date, location, artist, etc. would be helpful; and if you took the photos, I'd indicate that, too.</w:t>
      </w:r>
    </w:p>
  </w:comment>
  <w:comment w:id="76" w:author="Katherine Ulrich" w:date="2023-11-11T15:16:00Z" w:initials="KU">
    <w:p w14:paraId="19B84741" w14:textId="7E0BBFB2" w:rsidR="0033702F" w:rsidRDefault="0033702F" w:rsidP="00A27AA2">
      <w:pPr>
        <w:pStyle w:val="CommentText"/>
      </w:pPr>
      <w:r>
        <w:rPr>
          <w:rStyle w:val="CommentReference"/>
        </w:rPr>
        <w:annotationRef/>
      </w:r>
      <w:r>
        <w:t>Please update.</w:t>
      </w:r>
    </w:p>
  </w:comment>
  <w:comment w:id="77" w:author="Unknown Author" w:date="2023-10-29T09:15:00Z" w:initials="">
    <w:p w14:paraId="414FFC06" w14:textId="1CA15ADB" w:rsidR="00A63A65" w:rsidRDefault="00000000">
      <w:pPr>
        <w:overflowPunct w:val="0"/>
      </w:pPr>
      <w:r>
        <w:rPr>
          <w:sz w:val="20"/>
        </w:rPr>
        <w:t>Can you say something more specific about these portraits? Where are they, where do the images come from, etc.?</w:t>
      </w:r>
    </w:p>
  </w:comment>
  <w:comment w:id="78" w:author="Katherine Ulrich" w:date="2023-11-11T15:23:00Z" w:initials="KU">
    <w:p w14:paraId="14E7BDD7" w14:textId="77777777" w:rsidR="00935BEE" w:rsidRDefault="00935BEE" w:rsidP="00495B4A">
      <w:pPr>
        <w:pStyle w:val="CommentText"/>
      </w:pPr>
      <w:r>
        <w:rPr>
          <w:rStyle w:val="CommentReference"/>
        </w:rPr>
        <w:annotationRef/>
      </w:r>
      <w:r>
        <w:t xml:space="preserve">I feel like this is a separate argument. The images as you suggest signal his Virasaiva identity, but isn't the question for the article precisely whether that is or is not a "Hindu" identity? Are there other images that portray him, say, worshiping the goddess? Bathing in the Ganges? If all the images show him as a Virashaiva, then...that seems noteworthy, esp. if the documentary sources use "Hindu" to refer to him. </w:t>
      </w:r>
    </w:p>
  </w:comment>
  <w:comment w:id="79" w:author="Unknown Author" w:date="2023-10-29T09:20:00Z" w:initials="">
    <w:p w14:paraId="672EDC58" w14:textId="77777777" w:rsidR="00A63A65" w:rsidRDefault="00000000">
      <w:pPr>
        <w:overflowPunct w:val="0"/>
      </w:pPr>
      <w:r>
        <w:rPr>
          <w:sz w:val="20"/>
        </w:rPr>
        <w:t>Didn’t the reservation system not exist in the 1920s?</w:t>
      </w:r>
    </w:p>
  </w:comment>
  <w:comment w:id="80" w:author="Unknown Author" w:date="2023-10-29T09:21:00Z" w:initials="">
    <w:p w14:paraId="0BC80EB0" w14:textId="77777777" w:rsidR="00A63A65" w:rsidRDefault="00000000">
      <w:pPr>
        <w:overflowPunct w:val="0"/>
      </w:pPr>
      <w:r>
        <w:rPr>
          <w:sz w:val="20"/>
        </w:rPr>
        <w:t>Swarajya is a fascist magazine and should not be cited as a news source.</w:t>
      </w:r>
    </w:p>
  </w:comment>
  <w:comment w:id="81" w:author="Unknown Author" w:date="2023-10-29T09:22:00Z" w:initials="">
    <w:p w14:paraId="14E82CF0" w14:textId="77777777" w:rsidR="00A63A65" w:rsidRDefault="00000000">
      <w:pPr>
        <w:overflowPunct w:val="0"/>
      </w:pPr>
      <w:r>
        <w:rPr>
          <w:sz w:val="20"/>
        </w:rPr>
        <w:t xml:space="preserve">This conclusion does not follow. A lot of political theorists have noted that majoritarian democracy may actually afford </w:t>
      </w:r>
      <w:r>
        <w:rPr>
          <w:i/>
          <w:sz w:val="20"/>
        </w:rPr>
        <w:t>fewer</w:t>
      </w:r>
      <w:r>
        <w:rPr>
          <w:sz w:val="20"/>
        </w:rPr>
        <w:t xml:space="preserve"> protections to minority groups… </w:t>
      </w:r>
    </w:p>
  </w:comment>
  <w:comment w:id="82" w:author="Katherine Ulrich" w:date="2023-11-11T15:28:00Z" w:initials="KU">
    <w:p w14:paraId="35BB99F4" w14:textId="77777777" w:rsidR="00AB2CB1" w:rsidRDefault="00AB2CB1" w:rsidP="00A74D1C">
      <w:pPr>
        <w:pStyle w:val="CommentText"/>
      </w:pPr>
      <w:r>
        <w:rPr>
          <w:rStyle w:val="CommentReference"/>
        </w:rPr>
        <w:annotationRef/>
      </w:r>
      <w:r>
        <w:t>Is this capitalization correct? French titles are idiosyncratic (different publishers have different conventions), but I'd expect du and des to be lower case...please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46F234" w15:done="1"/>
  <w15:commentEx w15:paraId="7F7C7C28" w15:paraIdParent="2746F234" w15:done="1"/>
  <w15:commentEx w15:paraId="46E50CFD" w15:done="1"/>
  <w15:commentEx w15:paraId="57039367" w15:done="1"/>
  <w15:commentEx w15:paraId="78B1EE0D" w15:done="1"/>
  <w15:commentEx w15:paraId="45927A6B" w15:done="1"/>
  <w15:commentEx w15:paraId="1FA0F7B8" w15:done="1"/>
  <w15:commentEx w15:paraId="435C9B0C" w15:done="1"/>
  <w15:commentEx w15:paraId="0568020B" w15:done="1"/>
  <w15:commentEx w15:paraId="5B685E86" w15:done="1"/>
  <w15:commentEx w15:paraId="56E7A5D1" w15:done="1"/>
  <w15:commentEx w15:paraId="30B9A124" w15:done="1"/>
  <w15:commentEx w15:paraId="785C16B2" w15:done="1"/>
  <w15:commentEx w15:paraId="02231FC4" w15:done="1"/>
  <w15:commentEx w15:paraId="003C72A1" w15:done="1"/>
  <w15:commentEx w15:paraId="1886456C" w15:done="1"/>
  <w15:commentEx w15:paraId="722201F2" w15:done="1"/>
  <w15:commentEx w15:paraId="1DB19D39" w15:done="1"/>
  <w15:commentEx w15:paraId="41E9545F" w15:done="1"/>
  <w15:commentEx w15:paraId="56C0AE0E" w15:done="1"/>
  <w15:commentEx w15:paraId="21CA27FE" w15:done="1"/>
  <w15:commentEx w15:paraId="5B62DDEC" w15:done="1"/>
  <w15:commentEx w15:paraId="2F5690FC" w15:done="1"/>
  <w15:commentEx w15:paraId="2B3A9631" w15:done="1"/>
  <w15:commentEx w15:paraId="01A0AE72" w15:done="1"/>
  <w15:commentEx w15:paraId="15D3E45A" w15:done="1"/>
  <w15:commentEx w15:paraId="7392F5FD" w15:done="1"/>
  <w15:commentEx w15:paraId="784F027B" w15:done="1"/>
  <w15:commentEx w15:paraId="3DB30BB8" w15:done="1"/>
  <w15:commentEx w15:paraId="0FB509C2" w15:done="1"/>
  <w15:commentEx w15:paraId="3F5F6603" w15:done="1"/>
  <w15:commentEx w15:paraId="321C79E2" w15:done="1"/>
  <w15:commentEx w15:paraId="53BB2641" w15:done="1"/>
  <w15:commentEx w15:paraId="67F0A195" w15:done="1"/>
  <w15:commentEx w15:paraId="5F426082" w15:done="1"/>
  <w15:commentEx w15:paraId="49D95F0D" w15:done="1"/>
  <w15:commentEx w15:paraId="79D54D79" w15:done="1"/>
  <w15:commentEx w15:paraId="448DF37A" w15:done="1"/>
  <w15:commentEx w15:paraId="33204705" w15:done="1"/>
  <w15:commentEx w15:paraId="21719F64" w15:done="1"/>
  <w15:commentEx w15:paraId="785167B9" w15:done="1"/>
  <w15:commentEx w15:paraId="7B0A7557" w15:done="1"/>
  <w15:commentEx w15:paraId="1F850F91" w15:done="1"/>
  <w15:commentEx w15:paraId="3850383C" w15:done="1"/>
  <w15:commentEx w15:paraId="66052D66" w15:done="1"/>
  <w15:commentEx w15:paraId="512BE004" w15:done="1"/>
  <w15:commentEx w15:paraId="70B3DBF9" w15:done="1"/>
  <w15:commentEx w15:paraId="2475AEB9" w15:done="1"/>
  <w15:commentEx w15:paraId="2CDC432E" w15:done="1"/>
  <w15:commentEx w15:paraId="6FAB925F" w15:done="1"/>
  <w15:commentEx w15:paraId="54F0CEA0" w15:done="1"/>
  <w15:commentEx w15:paraId="7BDFFE6F" w15:done="1"/>
  <w15:commentEx w15:paraId="2677C279" w15:done="1"/>
  <w15:commentEx w15:paraId="268AEB54" w15:done="1"/>
  <w15:commentEx w15:paraId="760CD04A" w15:done="1"/>
  <w15:commentEx w15:paraId="304C1FE4" w15:done="1"/>
  <w15:commentEx w15:paraId="6E9C1495" w15:done="1"/>
  <w15:commentEx w15:paraId="6C13DEA3" w15:done="1"/>
  <w15:commentEx w15:paraId="225556E3" w15:done="1"/>
  <w15:commentEx w15:paraId="3525F16F" w15:done="1"/>
  <w15:commentEx w15:paraId="23639E6C" w15:done="1"/>
  <w15:commentEx w15:paraId="51451FDC" w15:done="1"/>
  <w15:commentEx w15:paraId="1042E4DA" w15:done="1"/>
  <w15:commentEx w15:paraId="19B84741" w15:done="1"/>
  <w15:commentEx w15:paraId="414FFC06" w15:done="1"/>
  <w15:commentEx w15:paraId="14E7BDD7" w15:done="1"/>
  <w15:commentEx w15:paraId="672EDC58" w15:done="1"/>
  <w15:commentEx w15:paraId="0BC80EB0" w15:done="1"/>
  <w15:commentEx w15:paraId="14E82CF0" w15:done="1"/>
  <w15:commentEx w15:paraId="35BB99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FC86F62" w16cex:dateUtc="2023-11-03T19:43:00Z"/>
  <w16cex:commentExtensible w16cex:durableId="305CEFB9" w16cex:dateUtc="2024-03-18T16:40:00Z"/>
  <w16cex:commentExtensible w16cex:durableId="388EE73C" w16cex:dateUtc="2023-11-03T19:21:00Z"/>
  <w16cex:commentExtensible w16cex:durableId="0765328E" w16cex:dateUtc="2023-11-03T19:55:00Z"/>
  <w16cex:commentExtensible w16cex:durableId="1559FE35" w16cex:dateUtc="2023-11-11T20:04:00Z"/>
  <w16cex:commentExtensible w16cex:durableId="01A9FBFD" w16cex:dateUtc="2023-11-03T20:04:00Z"/>
  <w16cex:commentExtensible w16cex:durableId="13473366" w16cex:dateUtc="2023-11-03T20:10:00Z"/>
  <w16cex:commentExtensible w16cex:durableId="3FF0B59F" w16cex:dateUtc="2023-11-03T20:15:00Z"/>
  <w16cex:commentExtensible w16cex:durableId="10515B0A" w16cex:dateUtc="2023-11-03T20:17:00Z"/>
  <w16cex:commentExtensible w16cex:durableId="1C79E474" w16cex:dateUtc="2023-11-03T20:20:00Z"/>
  <w16cex:commentExtensible w16cex:durableId="08457B94" w16cex:dateUtc="2023-11-03T20:21:00Z"/>
  <w16cex:commentExtensible w16cex:durableId="04EC914B" w16cex:dateUtc="2023-11-03T20:25:00Z"/>
  <w16cex:commentExtensible w16cex:durableId="64699D55" w16cex:dateUtc="2023-11-03T20:35:00Z"/>
  <w16cex:commentExtensible w16cex:durableId="6932BE4B" w16cex:dateUtc="2023-11-03T20:36:00Z"/>
  <w16cex:commentExtensible w16cex:durableId="247E5A4D" w16cex:dateUtc="2023-11-03T20:42:00Z"/>
  <w16cex:commentExtensible w16cex:durableId="5DA0D3E7" w16cex:dateUtc="2023-11-11T19:43:00Z"/>
  <w16cex:commentExtensible w16cex:durableId="00D0386A" w16cex:dateUtc="2023-11-11T19:54:00Z"/>
  <w16cex:commentExtensible w16cex:durableId="3DB2BE2C" w16cex:dateUtc="2023-11-11T19:02:00Z"/>
  <w16cex:commentExtensible w16cex:durableId="59DC6B2D" w16cex:dateUtc="2023-11-03T20:45:00Z"/>
  <w16cex:commentExtensible w16cex:durableId="1D899ADC" w16cex:dateUtc="2023-11-11T19:13:00Z"/>
  <w16cex:commentExtensible w16cex:durableId="5FAD9B8C" w16cex:dateUtc="2023-11-11T19:08:00Z"/>
  <w16cex:commentExtensible w16cex:durableId="61435CB4" w16cex:dateUtc="2023-11-11T19:09:00Z"/>
  <w16cex:commentExtensible w16cex:durableId="77A234A6" w16cex:dateUtc="2023-11-11T19:30:00Z"/>
  <w16cex:commentExtensible w16cex:durableId="699D4CE9" w16cex:dateUtc="2023-11-11T19:35:00Z"/>
  <w16cex:commentExtensible w16cex:durableId="335400BF" w16cex:dateUtc="2023-11-11T19:46:00Z"/>
  <w16cex:commentExtensible w16cex:durableId="3250D1F6" w16cex:dateUtc="2023-11-11T20:19:00Z"/>
  <w16cex:commentExtensible w16cex:durableId="5D6E6DAF" w16cex:dateUtc="2023-11-11T20:27:00Z"/>
  <w16cex:commentExtensible w16cex:durableId="7EB869C7" w16cex:dateUtc="2023-11-11T20:32:00Z"/>
  <w16cex:commentExtensible w16cex:durableId="08613AED" w16cex:dateUtc="2023-11-11T20:32:00Z"/>
  <w16cex:commentExtensible w16cex:durableId="4804B906" w16cex:dateUtc="2023-11-11T20:35:00Z"/>
  <w16cex:commentExtensible w16cex:durableId="17F16549" w16cex:dateUtc="2023-11-11T20:48:00Z"/>
  <w16cex:commentExtensible w16cex:durableId="13E87B4B" w16cex:dateUtc="2023-11-11T20:56:00Z"/>
  <w16cex:commentExtensible w16cex:durableId="6B28F4FB" w16cex:dateUtc="2023-11-11T21:14:00Z"/>
  <w16cex:commentExtensible w16cex:durableId="63044D13" w16cex:dateUtc="2023-11-11T20:58:00Z"/>
  <w16cex:commentExtensible w16cex:durableId="4E082D64" w16cex:dateUtc="2023-11-11T20:59:00Z"/>
  <w16cex:commentExtensible w16cex:durableId="63D34CA8" w16cex:dateUtc="2023-11-11T21:00:00Z"/>
  <w16cex:commentExtensible w16cex:durableId="3D61719E" w16cex:dateUtc="2023-11-11T21:09:00Z"/>
  <w16cex:commentExtensible w16cex:durableId="4A7F0481" w16cex:dateUtc="2023-11-11T21:12:00Z"/>
  <w16cex:commentExtensible w16cex:durableId="4BB64240" w16cex:dateUtc="2023-11-11T21:15:00Z"/>
  <w16cex:commentExtensible w16cex:durableId="64257966" w16cex:dateUtc="2023-11-11T21:16:00Z"/>
  <w16cex:commentExtensible w16cex:durableId="476CE3BA" w16cex:dateUtc="2023-11-11T21:17:00Z"/>
  <w16cex:commentExtensible w16cex:durableId="46D09A4C" w16cex:dateUtc="2023-11-11T21:32:00Z"/>
  <w16cex:commentExtensible w16cex:durableId="3023D12F" w16cex:dateUtc="2023-11-11T21:36:00Z"/>
  <w16cex:commentExtensible w16cex:durableId="502C7C5C" w16cex:dateUtc="2023-11-11T21:39:00Z"/>
  <w16cex:commentExtensible w16cex:durableId="1D65F5E5" w16cex:dateUtc="2023-11-11T21:39:00Z"/>
  <w16cex:commentExtensible w16cex:durableId="2B7ECC28" w16cex:dateUtc="2023-11-11T21:45:00Z"/>
  <w16cex:commentExtensible w16cex:durableId="188BBC4E" w16cex:dateUtc="2023-11-11T21:54:00Z"/>
  <w16cex:commentExtensible w16cex:durableId="3F23091B" w16cex:dateUtc="2023-11-11T22:19:00Z"/>
  <w16cex:commentExtensible w16cex:durableId="1A94BC15" w16cex:dateUtc="2023-11-11T22:16:00Z"/>
  <w16cex:commentExtensible w16cex:durableId="04C5A814" w16cex:dateUtc="2023-11-11T22:23:00Z"/>
  <w16cex:commentExtensible w16cex:durableId="589E216A" w16cex:dateUtc="2023-11-11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46F234" w16cid:durableId="4FC86F62"/>
  <w16cid:commentId w16cid:paraId="7F7C7C28" w16cid:durableId="305CEFB9"/>
  <w16cid:commentId w16cid:paraId="46E50CFD" w16cid:durableId="388EE73C"/>
  <w16cid:commentId w16cid:paraId="57039367" w16cid:durableId="0765328E"/>
  <w16cid:commentId w16cid:paraId="78B1EE0D" w16cid:durableId="54D1D6F8"/>
  <w16cid:commentId w16cid:paraId="45927A6B" w16cid:durableId="1559FE35"/>
  <w16cid:commentId w16cid:paraId="1FA0F7B8" w16cid:durableId="01A9FBFD"/>
  <w16cid:commentId w16cid:paraId="435C9B0C" w16cid:durableId="13473366"/>
  <w16cid:commentId w16cid:paraId="0568020B" w16cid:durableId="68F3C9E7"/>
  <w16cid:commentId w16cid:paraId="5B685E86" w16cid:durableId="3FF0B59F"/>
  <w16cid:commentId w16cid:paraId="56E7A5D1" w16cid:durableId="10515B0A"/>
  <w16cid:commentId w16cid:paraId="30B9A124" w16cid:durableId="1C79E474"/>
  <w16cid:commentId w16cid:paraId="785C16B2" w16cid:durableId="08457B94"/>
  <w16cid:commentId w16cid:paraId="02231FC4" w16cid:durableId="0F6FBC65"/>
  <w16cid:commentId w16cid:paraId="003C72A1" w16cid:durableId="04EC914B"/>
  <w16cid:commentId w16cid:paraId="1886456C" w16cid:durableId="306DD5EE"/>
  <w16cid:commentId w16cid:paraId="722201F2" w16cid:durableId="0B506F51"/>
  <w16cid:commentId w16cid:paraId="1DB19D39" w16cid:durableId="13C3473C"/>
  <w16cid:commentId w16cid:paraId="41E9545F" w16cid:durableId="415B30B4"/>
  <w16cid:commentId w16cid:paraId="56C0AE0E" w16cid:durableId="64699D55"/>
  <w16cid:commentId w16cid:paraId="21CA27FE" w16cid:durableId="6932BE4B"/>
  <w16cid:commentId w16cid:paraId="5B62DDEC" w16cid:durableId="247E5A4D"/>
  <w16cid:commentId w16cid:paraId="2F5690FC" w16cid:durableId="2E682E52"/>
  <w16cid:commentId w16cid:paraId="2B3A9631" w16cid:durableId="5DA0D3E7"/>
  <w16cid:commentId w16cid:paraId="01A0AE72" w16cid:durableId="00D0386A"/>
  <w16cid:commentId w16cid:paraId="15D3E45A" w16cid:durableId="3DB2BE2C"/>
  <w16cid:commentId w16cid:paraId="7392F5FD" w16cid:durableId="59DC6B2D"/>
  <w16cid:commentId w16cid:paraId="784F027B" w16cid:durableId="1D899ADC"/>
  <w16cid:commentId w16cid:paraId="3DB30BB8" w16cid:durableId="5FAD9B8C"/>
  <w16cid:commentId w16cid:paraId="0FB509C2" w16cid:durableId="61435CB4"/>
  <w16cid:commentId w16cid:paraId="3F5F6603" w16cid:durableId="1C235F9B"/>
  <w16cid:commentId w16cid:paraId="321C79E2" w16cid:durableId="77A234A6"/>
  <w16cid:commentId w16cid:paraId="53BB2641" w16cid:durableId="699D4CE9"/>
  <w16cid:commentId w16cid:paraId="67F0A195" w16cid:durableId="335400BF"/>
  <w16cid:commentId w16cid:paraId="5F426082" w16cid:durableId="3250D1F6"/>
  <w16cid:commentId w16cid:paraId="49D95F0D" w16cid:durableId="5865050C"/>
  <w16cid:commentId w16cid:paraId="79D54D79" w16cid:durableId="5D6E6DAF"/>
  <w16cid:commentId w16cid:paraId="448DF37A" w16cid:durableId="65600443"/>
  <w16cid:commentId w16cid:paraId="33204705" w16cid:durableId="12C88234"/>
  <w16cid:commentId w16cid:paraId="21719F64" w16cid:durableId="7EB869C7"/>
  <w16cid:commentId w16cid:paraId="785167B9" w16cid:durableId="680FC9C9"/>
  <w16cid:commentId w16cid:paraId="7B0A7557" w16cid:durableId="08613AED"/>
  <w16cid:commentId w16cid:paraId="1F850F91" w16cid:durableId="4804B906"/>
  <w16cid:commentId w16cid:paraId="3850383C" w16cid:durableId="17F16549"/>
  <w16cid:commentId w16cid:paraId="66052D66" w16cid:durableId="2D12A44B"/>
  <w16cid:commentId w16cid:paraId="512BE004" w16cid:durableId="13E87B4B"/>
  <w16cid:commentId w16cid:paraId="70B3DBF9" w16cid:durableId="6B28F4FB"/>
  <w16cid:commentId w16cid:paraId="2475AEB9" w16cid:durableId="63044D13"/>
  <w16cid:commentId w16cid:paraId="2CDC432E" w16cid:durableId="4E082D64"/>
  <w16cid:commentId w16cid:paraId="6FAB925F" w16cid:durableId="274F2B5A"/>
  <w16cid:commentId w16cid:paraId="54F0CEA0" w16cid:durableId="63D34CA8"/>
  <w16cid:commentId w16cid:paraId="7BDFFE6F" w16cid:durableId="3D61719E"/>
  <w16cid:commentId w16cid:paraId="2677C279" w16cid:durableId="4A7F0481"/>
  <w16cid:commentId w16cid:paraId="268AEB54" w16cid:durableId="4BB64240"/>
  <w16cid:commentId w16cid:paraId="760CD04A" w16cid:durableId="64257966"/>
  <w16cid:commentId w16cid:paraId="304C1FE4" w16cid:durableId="476CE3BA"/>
  <w16cid:commentId w16cid:paraId="6E9C1495" w16cid:durableId="46D09A4C"/>
  <w16cid:commentId w16cid:paraId="6C13DEA3" w16cid:durableId="3023D12F"/>
  <w16cid:commentId w16cid:paraId="225556E3" w16cid:durableId="502C7C5C"/>
  <w16cid:commentId w16cid:paraId="3525F16F" w16cid:durableId="1D65F5E5"/>
  <w16cid:commentId w16cid:paraId="23639E6C" w16cid:durableId="2B7ECC28"/>
  <w16cid:commentId w16cid:paraId="51451FDC" w16cid:durableId="188BBC4E"/>
  <w16cid:commentId w16cid:paraId="1042E4DA" w16cid:durableId="3F23091B"/>
  <w16cid:commentId w16cid:paraId="19B84741" w16cid:durableId="1A94BC15"/>
  <w16cid:commentId w16cid:paraId="414FFC06" w16cid:durableId="44E9F62B"/>
  <w16cid:commentId w16cid:paraId="14E7BDD7" w16cid:durableId="04C5A814"/>
  <w16cid:commentId w16cid:paraId="672EDC58" w16cid:durableId="121E024F"/>
  <w16cid:commentId w16cid:paraId="0BC80EB0" w16cid:durableId="74A811F4"/>
  <w16cid:commentId w16cid:paraId="14E82CF0" w16cid:durableId="1712D9E1"/>
  <w16cid:commentId w16cid:paraId="35BB99F4" w16cid:durableId="589E2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96883" w14:textId="77777777" w:rsidR="00A64008" w:rsidRDefault="00A64008">
      <w:r>
        <w:separator/>
      </w:r>
    </w:p>
  </w:endnote>
  <w:endnote w:type="continuationSeparator" w:id="0">
    <w:p w14:paraId="7A28F791" w14:textId="77777777" w:rsidR="00A64008" w:rsidRDefault="00A64008">
      <w:r>
        <w:continuationSeparator/>
      </w:r>
    </w:p>
  </w:endnote>
  <w:endnote w:id="1">
    <w:p w14:paraId="3A2473A0" w14:textId="77777777" w:rsidR="00A63A65" w:rsidRDefault="00000000">
      <w:pPr>
        <w:pStyle w:val="EndnoteText"/>
      </w:pPr>
      <w:r>
        <w:rPr>
          <w:rStyle w:val="EndnoteCharacters"/>
        </w:rPr>
        <w:endnoteRef/>
      </w:r>
      <w:r>
        <w:t xml:space="preserve"> For more regarding the precarity of Kṛṣṇarāja’s claim to the throne viz-a-viz Ṭipū Sultān’s sons, see Simmons 2020, 113 &amp; 129 n. 34.</w:t>
      </w:r>
    </w:p>
  </w:endnote>
  <w:endnote w:id="2">
    <w:p w14:paraId="2374948F" w14:textId="77777777" w:rsidR="00A63A65" w:rsidRDefault="00000000">
      <w:pPr>
        <w:pStyle w:val="EndnoteText"/>
      </w:pPr>
      <w:r>
        <w:rPr>
          <w:rStyle w:val="EndnoteCharacters"/>
        </w:rPr>
        <w:endnoteRef/>
      </w:r>
      <w:r>
        <w:t xml:space="preserve"> The city at the time was called “Bidanūru” but was renamed Haidarnagara (“City of Haidar”) by Ṭipū Sultān. After the fall of Ṭipū Sultān, the name was shortened to Nagara.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TUS Cyberbit Basic">
    <w:altName w:val="Cambria"/>
    <w:panose1 w:val="020B0604020202020204"/>
    <w:charset w:val="00"/>
    <w:family w:val="roman"/>
    <w:notTrueType/>
    <w:pitch w:val="default"/>
  </w:font>
  <w:font w:name="Adobe Caslon Pro">
    <w:altName w:val="Palatino Linotype"/>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x">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389324"/>
      <w:docPartObj>
        <w:docPartGallery w:val="Page Numbers (Bottom of Page)"/>
        <w:docPartUnique/>
      </w:docPartObj>
    </w:sdtPr>
    <w:sdtContent>
      <w:p w14:paraId="4CCFA67E" w14:textId="77777777" w:rsidR="00A63A6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55330BC9" w14:textId="77777777" w:rsidR="00A63A65" w:rsidRDefault="00A63A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8799331"/>
      <w:docPartObj>
        <w:docPartGallery w:val="Page Numbers (Bottom of Page)"/>
        <w:docPartUnique/>
      </w:docPartObj>
    </w:sdtPr>
    <w:sdtContent>
      <w:p w14:paraId="241D00FA" w14:textId="77777777" w:rsidR="00A63A6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sdtContent>
  </w:sdt>
  <w:p w14:paraId="07BB298D" w14:textId="77777777" w:rsidR="00A63A65" w:rsidRDefault="00A63A6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713429"/>
      <w:docPartObj>
        <w:docPartGallery w:val="Page Numbers (Bottom of Page)"/>
        <w:docPartUnique/>
      </w:docPartObj>
    </w:sdtPr>
    <w:sdtContent>
      <w:p w14:paraId="51F6BBA3" w14:textId="77777777" w:rsidR="00A63A6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sdtContent>
  </w:sdt>
  <w:p w14:paraId="01894D10" w14:textId="77777777" w:rsidR="00A63A65" w:rsidRDefault="00A63A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59B2A" w14:textId="77777777" w:rsidR="00A64008" w:rsidRDefault="00A64008">
      <w:r>
        <w:separator/>
      </w:r>
    </w:p>
  </w:footnote>
  <w:footnote w:type="continuationSeparator" w:id="0">
    <w:p w14:paraId="55418A47" w14:textId="77777777" w:rsidR="00A64008" w:rsidRDefault="00A6400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herine Ulrich">
    <w15:presenceInfo w15:providerId="Windows Live" w15:userId="3b69165c4695829e"/>
  </w15:person>
  <w15:person w15:author="Simmons, Caleb - (calebsimmons)">
    <w15:presenceInfo w15:providerId="AD" w15:userId="S::calebsimmons@arizona.edu::32bac5c9-835b-4b2d-86c4-9457bf2fc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trackRevisions/>
  <w:defaultTabStop w:val="720"/>
  <w:autoHyphenation/>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A65"/>
    <w:rsid w:val="0002062F"/>
    <w:rsid w:val="0002225B"/>
    <w:rsid w:val="00023F25"/>
    <w:rsid w:val="00054F80"/>
    <w:rsid w:val="00093A3D"/>
    <w:rsid w:val="00097E55"/>
    <w:rsid w:val="00097E7F"/>
    <w:rsid w:val="000A1CD1"/>
    <w:rsid w:val="000A2BFC"/>
    <w:rsid w:val="000B0FE4"/>
    <w:rsid w:val="000D4437"/>
    <w:rsid w:val="000E08D7"/>
    <w:rsid w:val="000E1FE5"/>
    <w:rsid w:val="000E437B"/>
    <w:rsid w:val="000F2222"/>
    <w:rsid w:val="00143C36"/>
    <w:rsid w:val="00156541"/>
    <w:rsid w:val="00185B58"/>
    <w:rsid w:val="001C7850"/>
    <w:rsid w:val="001D4C30"/>
    <w:rsid w:val="001E7405"/>
    <w:rsid w:val="001F4EDB"/>
    <w:rsid w:val="001F6302"/>
    <w:rsid w:val="00204805"/>
    <w:rsid w:val="002065CE"/>
    <w:rsid w:val="00211AC2"/>
    <w:rsid w:val="002143C6"/>
    <w:rsid w:val="00214F99"/>
    <w:rsid w:val="0021526B"/>
    <w:rsid w:val="00216D93"/>
    <w:rsid w:val="00243234"/>
    <w:rsid w:val="0026115A"/>
    <w:rsid w:val="00291FE7"/>
    <w:rsid w:val="002A15BB"/>
    <w:rsid w:val="002B0E62"/>
    <w:rsid w:val="002D1354"/>
    <w:rsid w:val="0030224A"/>
    <w:rsid w:val="0030706A"/>
    <w:rsid w:val="00320622"/>
    <w:rsid w:val="0033702F"/>
    <w:rsid w:val="003431E6"/>
    <w:rsid w:val="003520F6"/>
    <w:rsid w:val="003565FD"/>
    <w:rsid w:val="0039105C"/>
    <w:rsid w:val="003928CD"/>
    <w:rsid w:val="003940E8"/>
    <w:rsid w:val="003A124B"/>
    <w:rsid w:val="003A4ECF"/>
    <w:rsid w:val="003B23E3"/>
    <w:rsid w:val="003D16A4"/>
    <w:rsid w:val="003D552D"/>
    <w:rsid w:val="003F6B77"/>
    <w:rsid w:val="003F78EC"/>
    <w:rsid w:val="00417384"/>
    <w:rsid w:val="00430C70"/>
    <w:rsid w:val="00436624"/>
    <w:rsid w:val="00437D3D"/>
    <w:rsid w:val="00442F44"/>
    <w:rsid w:val="00442F75"/>
    <w:rsid w:val="00453156"/>
    <w:rsid w:val="004A418B"/>
    <w:rsid w:val="004B5AF8"/>
    <w:rsid w:val="004B6927"/>
    <w:rsid w:val="00513831"/>
    <w:rsid w:val="00516810"/>
    <w:rsid w:val="0054649F"/>
    <w:rsid w:val="005473DF"/>
    <w:rsid w:val="00566DE7"/>
    <w:rsid w:val="005D0BB6"/>
    <w:rsid w:val="005D5259"/>
    <w:rsid w:val="0060042B"/>
    <w:rsid w:val="00667E72"/>
    <w:rsid w:val="00676B3A"/>
    <w:rsid w:val="006939F3"/>
    <w:rsid w:val="006B4E2E"/>
    <w:rsid w:val="006E017B"/>
    <w:rsid w:val="006E0333"/>
    <w:rsid w:val="006F3E79"/>
    <w:rsid w:val="00717CDE"/>
    <w:rsid w:val="007374BA"/>
    <w:rsid w:val="0074169F"/>
    <w:rsid w:val="00764265"/>
    <w:rsid w:val="00765F11"/>
    <w:rsid w:val="00771492"/>
    <w:rsid w:val="00785330"/>
    <w:rsid w:val="00787978"/>
    <w:rsid w:val="007B7897"/>
    <w:rsid w:val="007F373E"/>
    <w:rsid w:val="00821637"/>
    <w:rsid w:val="008648BA"/>
    <w:rsid w:val="00890C48"/>
    <w:rsid w:val="008E72BE"/>
    <w:rsid w:val="008F7BF3"/>
    <w:rsid w:val="00935265"/>
    <w:rsid w:val="00935356"/>
    <w:rsid w:val="00935BEE"/>
    <w:rsid w:val="009431F9"/>
    <w:rsid w:val="00947B38"/>
    <w:rsid w:val="00956A63"/>
    <w:rsid w:val="00965134"/>
    <w:rsid w:val="00967831"/>
    <w:rsid w:val="00974BB2"/>
    <w:rsid w:val="009A4213"/>
    <w:rsid w:val="009B1FCC"/>
    <w:rsid w:val="009C083F"/>
    <w:rsid w:val="009F32B8"/>
    <w:rsid w:val="009F3379"/>
    <w:rsid w:val="00A02034"/>
    <w:rsid w:val="00A07628"/>
    <w:rsid w:val="00A17CFA"/>
    <w:rsid w:val="00A20C43"/>
    <w:rsid w:val="00A31097"/>
    <w:rsid w:val="00A54AFC"/>
    <w:rsid w:val="00A57E1E"/>
    <w:rsid w:val="00A63A65"/>
    <w:rsid w:val="00A64008"/>
    <w:rsid w:val="00A71317"/>
    <w:rsid w:val="00A77722"/>
    <w:rsid w:val="00AB1D30"/>
    <w:rsid w:val="00AB2CB1"/>
    <w:rsid w:val="00AE589F"/>
    <w:rsid w:val="00B01E3A"/>
    <w:rsid w:val="00B34301"/>
    <w:rsid w:val="00B47C53"/>
    <w:rsid w:val="00B514E3"/>
    <w:rsid w:val="00B65E50"/>
    <w:rsid w:val="00B762CA"/>
    <w:rsid w:val="00B82E62"/>
    <w:rsid w:val="00B8715D"/>
    <w:rsid w:val="00BA1800"/>
    <w:rsid w:val="00BC5690"/>
    <w:rsid w:val="00C0000A"/>
    <w:rsid w:val="00C66C8D"/>
    <w:rsid w:val="00CD00DB"/>
    <w:rsid w:val="00CF219F"/>
    <w:rsid w:val="00D11302"/>
    <w:rsid w:val="00D15272"/>
    <w:rsid w:val="00D545E6"/>
    <w:rsid w:val="00D634F3"/>
    <w:rsid w:val="00D922D0"/>
    <w:rsid w:val="00DA1D98"/>
    <w:rsid w:val="00DD13AA"/>
    <w:rsid w:val="00E14FD7"/>
    <w:rsid w:val="00E2352F"/>
    <w:rsid w:val="00E26C10"/>
    <w:rsid w:val="00E331C5"/>
    <w:rsid w:val="00E44FD2"/>
    <w:rsid w:val="00E4737E"/>
    <w:rsid w:val="00E65D61"/>
    <w:rsid w:val="00EA2C47"/>
    <w:rsid w:val="00F418F6"/>
    <w:rsid w:val="00F61436"/>
    <w:rsid w:val="00FA4A85"/>
    <w:rsid w:val="00FB611B"/>
    <w:rsid w:val="00FB61D7"/>
    <w:rsid w:val="00FD311C"/>
    <w:rsid w:val="00FD378E"/>
    <w:rsid w:val="00FD4CFF"/>
    <w:rsid w:val="00FF1604"/>
    <w:rsid w:val="00FF3A3E"/>
    <w:rsid w:val="00FF65F3"/>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C7BAA"/>
  <w15:docId w15:val="{831E75CF-1791-496E-8645-E6563ED2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C35"/>
  </w:style>
  <w:style w:type="paragraph" w:styleId="Heading1">
    <w:name w:val="heading 1"/>
    <w:basedOn w:val="Normal"/>
    <w:next w:val="Normal"/>
    <w:link w:val="Heading1Char"/>
    <w:autoRedefine/>
    <w:uiPriority w:val="9"/>
    <w:qFormat/>
    <w:rsid w:val="00C21C35"/>
    <w:pPr>
      <w:keepNext/>
      <w:keepLines/>
      <w:ind w:left="806" w:right="1627" w:firstLine="1080"/>
      <w:contextualSpacing/>
      <w:jc w:val="center"/>
      <w:outlineLvl w:val="0"/>
    </w:pPr>
    <w:rPr>
      <w:rFonts w:ascii="Times New Roman" w:eastAsiaTheme="majorEastAsia" w:hAnsi="Times New Roman" w:cstheme="majorBidi"/>
      <w:b/>
      <w:bCs/>
      <w:smallCaps/>
      <w:sz w:val="32"/>
      <w:szCs w:val="32"/>
    </w:rPr>
  </w:style>
  <w:style w:type="paragraph" w:styleId="Heading2">
    <w:name w:val="heading 2"/>
    <w:basedOn w:val="Normal"/>
    <w:next w:val="Normal"/>
    <w:link w:val="Heading2Char"/>
    <w:autoRedefine/>
    <w:uiPriority w:val="9"/>
    <w:unhideWhenUsed/>
    <w:qFormat/>
    <w:rsid w:val="00C21C35"/>
    <w:pPr>
      <w:keepNext/>
      <w:keepLines/>
      <w:spacing w:before="200" w:line="480" w:lineRule="auto"/>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autoRedefine/>
    <w:uiPriority w:val="9"/>
    <w:unhideWhenUsed/>
    <w:qFormat/>
    <w:rsid w:val="00C21C35"/>
    <w:pPr>
      <w:keepNext/>
      <w:keepLines/>
      <w:spacing w:before="200" w:line="480" w:lineRule="auto"/>
      <w:outlineLvl w:val="2"/>
    </w:pPr>
    <w:rPr>
      <w:rFonts w:ascii="Times New Roman" w:eastAsiaTheme="majorEastAsia" w:hAnsi="Times New Roman" w:cstheme="majorBidi"/>
      <w:bCs/>
      <w:i/>
    </w:rPr>
  </w:style>
  <w:style w:type="paragraph" w:styleId="Heading4">
    <w:name w:val="heading 4"/>
    <w:basedOn w:val="Normal"/>
    <w:next w:val="Normal"/>
    <w:link w:val="Heading4Char"/>
    <w:autoRedefine/>
    <w:uiPriority w:val="9"/>
    <w:semiHidden/>
    <w:unhideWhenUsed/>
    <w:qFormat/>
    <w:rsid w:val="00717B5C"/>
    <w:pPr>
      <w:keepNext/>
      <w:keepLines/>
      <w:spacing w:before="200"/>
      <w:outlineLvl w:val="3"/>
    </w:pPr>
    <w:rPr>
      <w:rFonts w:ascii="Times New Roman" w:eastAsiaTheme="majorEastAsia" w:hAnsi="Times New Roman"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21C35"/>
    <w:rPr>
      <w:rFonts w:ascii="Times New Roman" w:eastAsiaTheme="majorEastAsia" w:hAnsi="Times New Roman" w:cstheme="majorBidi"/>
      <w:b/>
      <w:bCs/>
      <w:smallCaps/>
      <w:sz w:val="32"/>
      <w:szCs w:val="32"/>
    </w:rPr>
  </w:style>
  <w:style w:type="character" w:customStyle="1" w:styleId="BodyTextChar">
    <w:name w:val="Body Text Char"/>
    <w:basedOn w:val="DefaultParagraphFont"/>
    <w:link w:val="BodyText"/>
    <w:uiPriority w:val="99"/>
    <w:qFormat/>
    <w:rsid w:val="00C21C35"/>
    <w:rPr>
      <w:rFonts w:ascii="Times New Roman" w:hAnsi="Times New Roman"/>
    </w:rPr>
  </w:style>
  <w:style w:type="character" w:customStyle="1" w:styleId="BlockQuoteChar">
    <w:name w:val="Block Quote Char"/>
    <w:basedOn w:val="BodyTextChar"/>
    <w:link w:val="BlockQuote"/>
    <w:qFormat/>
    <w:rsid w:val="00C21C35"/>
    <w:rPr>
      <w:rFonts w:ascii="Times New Roman" w:hAnsi="Times New Roman"/>
    </w:rPr>
  </w:style>
  <w:style w:type="character" w:customStyle="1" w:styleId="ChaptersubtitleChar">
    <w:name w:val="Chapter subtitle Char"/>
    <w:basedOn w:val="Heading1Char"/>
    <w:link w:val="Chaptersubtitle"/>
    <w:qFormat/>
    <w:rsid w:val="00C21C35"/>
    <w:rPr>
      <w:rFonts w:ascii="Times New Roman" w:eastAsiaTheme="majorEastAsia" w:hAnsi="Times New Roman" w:cstheme="majorBidi"/>
      <w:b w:val="0"/>
      <w:bCs/>
      <w:caps w:val="0"/>
      <w:smallCaps w:val="0"/>
      <w:sz w:val="28"/>
      <w:szCs w:val="32"/>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basedOn w:val="DefaultParagraphFont"/>
    <w:link w:val="EndnoteText"/>
    <w:uiPriority w:val="99"/>
    <w:qFormat/>
    <w:rsid w:val="00C21C35"/>
  </w:style>
  <w:style w:type="character" w:customStyle="1" w:styleId="FooterChar">
    <w:name w:val="Footer Char"/>
    <w:basedOn w:val="DefaultParagraphFont"/>
    <w:link w:val="Footer"/>
    <w:uiPriority w:val="99"/>
    <w:qFormat/>
    <w:rsid w:val="00C21C35"/>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basedOn w:val="DefaultParagraphFont"/>
    <w:link w:val="FootnoteText"/>
    <w:uiPriority w:val="99"/>
    <w:qFormat/>
    <w:rsid w:val="00C21C35"/>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qFormat/>
    <w:rsid w:val="00C21C35"/>
    <w:rPr>
      <w:rFonts w:ascii="Times New Roman" w:eastAsiaTheme="majorEastAsia" w:hAnsi="Times New Roman" w:cstheme="majorBidi"/>
      <w:b/>
      <w:bCs/>
      <w:szCs w:val="26"/>
    </w:rPr>
  </w:style>
  <w:style w:type="character" w:customStyle="1" w:styleId="Heading3Char">
    <w:name w:val="Heading 3 Char"/>
    <w:basedOn w:val="DefaultParagraphFont"/>
    <w:link w:val="Heading3"/>
    <w:uiPriority w:val="9"/>
    <w:qFormat/>
    <w:rsid w:val="00C21C35"/>
    <w:rPr>
      <w:rFonts w:ascii="Times New Roman" w:eastAsiaTheme="majorEastAsia" w:hAnsi="Times New Roman" w:cstheme="majorBidi"/>
      <w:bCs/>
      <w:i/>
    </w:rPr>
  </w:style>
  <w:style w:type="character" w:customStyle="1" w:styleId="NavaratriBookChar">
    <w:name w:val="Navaratri Book Char"/>
    <w:basedOn w:val="Heading1Char"/>
    <w:link w:val="NavaratriBook"/>
    <w:qFormat/>
    <w:rsid w:val="00C21C35"/>
    <w:rPr>
      <w:rFonts w:ascii="Times New Roman" w:eastAsia="TITUS Cyberbit Basic" w:hAnsi="Times New Roman" w:cs="TITUS Cyberbit Basic"/>
      <w:b w:val="0"/>
      <w:bCs w:val="0"/>
      <w:caps w:val="0"/>
      <w:smallCaps w:val="0"/>
      <w:sz w:val="32"/>
      <w:szCs w:val="32"/>
      <w:lang w:val="en-CA"/>
    </w:rPr>
  </w:style>
  <w:style w:type="character" w:styleId="PageNumber">
    <w:name w:val="page number"/>
    <w:basedOn w:val="DefaultParagraphFont"/>
    <w:uiPriority w:val="99"/>
    <w:semiHidden/>
    <w:unhideWhenUsed/>
    <w:qFormat/>
    <w:rsid w:val="00C21C35"/>
  </w:style>
  <w:style w:type="character" w:customStyle="1" w:styleId="TitleChar">
    <w:name w:val="Title Char"/>
    <w:basedOn w:val="DefaultParagraphFont"/>
    <w:link w:val="Title"/>
    <w:uiPriority w:val="10"/>
    <w:qFormat/>
    <w:rsid w:val="00C21C35"/>
    <w:rPr>
      <w:rFonts w:ascii="Times New Roman" w:eastAsiaTheme="majorEastAsia" w:hAnsi="Times New Roman" w:cstheme="majorBidi"/>
      <w:spacing w:val="5"/>
      <w:kern w:val="2"/>
      <w:sz w:val="52"/>
      <w:szCs w:val="52"/>
    </w:rPr>
  </w:style>
  <w:style w:type="character" w:customStyle="1" w:styleId="Subsection4Char">
    <w:name w:val="Subsection 4 Char"/>
    <w:basedOn w:val="Heading3Char"/>
    <w:link w:val="Subsection4"/>
    <w:qFormat/>
    <w:rsid w:val="005D0CE5"/>
    <w:rPr>
      <w:rFonts w:ascii="Times New Roman" w:eastAsiaTheme="majorEastAsia" w:hAnsi="Times New Roman" w:cstheme="majorBidi"/>
      <w:bCs/>
      <w:i w:val="0"/>
    </w:rPr>
  </w:style>
  <w:style w:type="character" w:customStyle="1" w:styleId="Heading4Char">
    <w:name w:val="Heading 4 Char"/>
    <w:basedOn w:val="DefaultParagraphFont"/>
    <w:link w:val="Heading4"/>
    <w:uiPriority w:val="9"/>
    <w:semiHidden/>
    <w:qFormat/>
    <w:rsid w:val="00717B5C"/>
    <w:rPr>
      <w:rFonts w:ascii="Times New Roman" w:eastAsiaTheme="majorEastAsia" w:hAnsi="Times New Roman" w:cstheme="majorBidi"/>
      <w:bCs/>
      <w:iCs/>
    </w:rPr>
  </w:style>
  <w:style w:type="character" w:styleId="Hyperlink">
    <w:name w:val="Hyperlink"/>
    <w:basedOn w:val="DefaultParagraphFont"/>
    <w:uiPriority w:val="99"/>
    <w:unhideWhenUsed/>
    <w:rsid w:val="00D12806"/>
    <w:rPr>
      <w:color w:val="0000FF" w:themeColor="hyperlink"/>
      <w:u w:val="single"/>
    </w:rPr>
  </w:style>
  <w:style w:type="character" w:styleId="UnresolvedMention">
    <w:name w:val="Unresolved Mention"/>
    <w:basedOn w:val="DefaultParagraphFont"/>
    <w:uiPriority w:val="99"/>
    <w:semiHidden/>
    <w:unhideWhenUsed/>
    <w:qFormat/>
    <w:rsid w:val="00D12806"/>
    <w:rPr>
      <w:color w:val="605E5C"/>
      <w:shd w:val="clear" w:color="auto" w:fill="E1DFDD"/>
    </w:rPr>
  </w:style>
  <w:style w:type="character" w:customStyle="1" w:styleId="BalloonTextChar">
    <w:name w:val="Balloon Text Char"/>
    <w:basedOn w:val="DefaultParagraphFont"/>
    <w:link w:val="BalloonText"/>
    <w:uiPriority w:val="99"/>
    <w:semiHidden/>
    <w:qFormat/>
    <w:rsid w:val="00D12806"/>
    <w:rPr>
      <w:rFonts w:ascii="Times New Roman" w:hAnsi="Times New Roman" w:cs="Times New Roman"/>
      <w:sz w:val="18"/>
      <w:szCs w:val="18"/>
    </w:rPr>
  </w:style>
  <w:style w:type="character" w:customStyle="1" w:styleId="LineNumber1">
    <w:name w:val="Line Number1"/>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paragraph" w:customStyle="1" w:styleId="Heading">
    <w:name w:val="Heading"/>
    <w:basedOn w:val="Normal"/>
    <w:next w:val="BodyText"/>
    <w:qFormat/>
    <w:pPr>
      <w:keepNext/>
      <w:spacing w:before="240" w:after="120"/>
    </w:pPr>
    <w:rPr>
      <w:rFonts w:ascii="Adobe Caslon Pro" w:eastAsia="Noto Sans CJK SC" w:hAnsi="Adobe Caslon Pro" w:cs="Lohit Devanagari"/>
      <w:sz w:val="28"/>
      <w:szCs w:val="28"/>
    </w:rPr>
  </w:style>
  <w:style w:type="paragraph" w:styleId="BodyText">
    <w:name w:val="Body Text"/>
    <w:basedOn w:val="Normal"/>
    <w:link w:val="BodyTextChar"/>
    <w:autoRedefine/>
    <w:uiPriority w:val="99"/>
    <w:unhideWhenUsed/>
    <w:qFormat/>
    <w:rsid w:val="00C21C35"/>
    <w:pPr>
      <w:spacing w:before="240" w:line="480" w:lineRule="auto"/>
      <w:ind w:firstLine="720"/>
      <w:contextualSpacing/>
    </w:pPr>
    <w:rPr>
      <w:rFonts w:ascii="Times New Roman" w:hAnsi="Times New Roman"/>
    </w:rPr>
  </w:style>
  <w:style w:type="paragraph" w:styleId="List">
    <w:name w:val="List"/>
    <w:basedOn w:val="BodyText"/>
    <w:rPr>
      <w:rFonts w:ascii="Adobe Caslon Pro" w:hAnsi="Adobe Caslon Pro" w:cs="Lohit Devanagari"/>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ascii="Adobe Caslon Pro" w:hAnsi="Adobe Caslon Pro" w:cs="Lohit Devanagari"/>
    </w:rPr>
  </w:style>
  <w:style w:type="paragraph" w:customStyle="1" w:styleId="caption1">
    <w:name w:val="caption1"/>
    <w:basedOn w:val="Normal"/>
    <w:qFormat/>
    <w:pPr>
      <w:suppressLineNumbers/>
      <w:spacing w:before="120" w:after="120"/>
    </w:pPr>
    <w:rPr>
      <w:rFonts w:ascii="Adobe Caslon Pro" w:hAnsi="Adobe Caslon Pro" w:cs="Lohit Devanagari"/>
      <w:i/>
      <w:iCs/>
    </w:rPr>
  </w:style>
  <w:style w:type="paragraph" w:customStyle="1" w:styleId="Author">
    <w:name w:val="Author"/>
    <w:basedOn w:val="Normal"/>
    <w:autoRedefine/>
    <w:qFormat/>
    <w:rsid w:val="00C21C35"/>
    <w:pPr>
      <w:jc w:val="center"/>
    </w:pPr>
    <w:rPr>
      <w:rFonts w:ascii="Times New Roman" w:eastAsia="MS Mincho" w:hAnsi="Times New Roman" w:cs="Times New Roman"/>
    </w:rPr>
  </w:style>
  <w:style w:type="paragraph" w:customStyle="1" w:styleId="Authoraffiliation">
    <w:name w:val="Author affiliation"/>
    <w:basedOn w:val="Normal"/>
    <w:autoRedefine/>
    <w:qFormat/>
    <w:rsid w:val="00C21C35"/>
    <w:pPr>
      <w:jc w:val="center"/>
    </w:pPr>
    <w:rPr>
      <w:rFonts w:ascii="Times New Roman" w:eastAsia="MS Mincho" w:hAnsi="Times New Roman" w:cs="Times New Roman"/>
      <w:i/>
    </w:rPr>
  </w:style>
  <w:style w:type="paragraph" w:styleId="Bibliography">
    <w:name w:val="Bibliography"/>
    <w:basedOn w:val="Normal"/>
    <w:next w:val="Normal"/>
    <w:autoRedefine/>
    <w:uiPriority w:val="37"/>
    <w:unhideWhenUsed/>
    <w:qFormat/>
    <w:rsid w:val="00C21C35"/>
    <w:pPr>
      <w:spacing w:after="240"/>
      <w:ind w:left="720" w:hanging="720"/>
    </w:pPr>
    <w:rPr>
      <w:rFonts w:ascii="Times New Roman" w:hAnsi="Times New Roman"/>
    </w:rPr>
  </w:style>
  <w:style w:type="paragraph" w:customStyle="1" w:styleId="BlockQuote">
    <w:name w:val="Block Quote"/>
    <w:basedOn w:val="BodyText"/>
    <w:link w:val="BlockQuoteChar"/>
    <w:autoRedefine/>
    <w:qFormat/>
    <w:rsid w:val="00C21C35"/>
    <w:pPr>
      <w:spacing w:before="0" w:after="240" w:line="240" w:lineRule="auto"/>
      <w:ind w:left="720" w:firstLine="0"/>
    </w:pPr>
  </w:style>
  <w:style w:type="paragraph" w:customStyle="1" w:styleId="Chaptersubtitle">
    <w:name w:val="Chapter subtitle"/>
    <w:basedOn w:val="Heading1"/>
    <w:link w:val="ChaptersubtitleChar"/>
    <w:autoRedefine/>
    <w:qFormat/>
    <w:rsid w:val="00C21C35"/>
    <w:pPr>
      <w:spacing w:after="720"/>
    </w:pPr>
    <w:rPr>
      <w:b w:val="0"/>
      <w:smallCaps w:val="0"/>
      <w:sz w:val="28"/>
    </w:rPr>
  </w:style>
  <w:style w:type="paragraph" w:customStyle="1" w:styleId="Chaptertitle">
    <w:name w:val="Chapter title"/>
    <w:basedOn w:val="Normal"/>
    <w:autoRedefine/>
    <w:qFormat/>
    <w:rsid w:val="00C21C35"/>
    <w:pPr>
      <w:jc w:val="center"/>
    </w:pPr>
    <w:rPr>
      <w:rFonts w:ascii="Times New Roman" w:eastAsia="MS Mincho" w:hAnsi="Times New Roman" w:cs="Times New Roman"/>
      <w:b/>
      <w:caps/>
    </w:rPr>
  </w:style>
  <w:style w:type="paragraph" w:styleId="EndnoteText">
    <w:name w:val="endnote text"/>
    <w:basedOn w:val="Normal"/>
    <w:link w:val="EndnoteTextChar"/>
    <w:uiPriority w:val="99"/>
    <w:unhideWhenUsed/>
    <w:rsid w:val="00C21C35"/>
  </w:style>
  <w:style w:type="paragraph" w:customStyle="1" w:styleId="Firstsubheading">
    <w:name w:val="First subheading"/>
    <w:basedOn w:val="Normal"/>
    <w:autoRedefine/>
    <w:qFormat/>
    <w:rsid w:val="00C21C35"/>
    <w:pPr>
      <w:spacing w:line="480" w:lineRule="auto"/>
    </w:pPr>
    <w:rPr>
      <w:rFonts w:ascii="Times New Roman" w:eastAsia="MS Mincho" w:hAnsi="Times New Roman" w:cs="Times New Roman"/>
      <w:b/>
    </w:rPr>
  </w:style>
  <w:style w:type="paragraph" w:customStyle="1" w:styleId="HeaderandFooter">
    <w:name w:val="Header and Footer"/>
    <w:basedOn w:val="Normal"/>
    <w:qFormat/>
  </w:style>
  <w:style w:type="paragraph" w:styleId="Footer">
    <w:name w:val="footer"/>
    <w:basedOn w:val="Normal"/>
    <w:link w:val="FooterChar"/>
    <w:uiPriority w:val="99"/>
    <w:unhideWhenUsed/>
    <w:rsid w:val="00C21C35"/>
    <w:pPr>
      <w:tabs>
        <w:tab w:val="center" w:pos="4320"/>
        <w:tab w:val="right" w:pos="8640"/>
      </w:tabs>
    </w:pPr>
  </w:style>
  <w:style w:type="paragraph" w:styleId="FootnoteText">
    <w:name w:val="footnote text"/>
    <w:basedOn w:val="Normal"/>
    <w:link w:val="FootnoteTextChar"/>
    <w:uiPriority w:val="99"/>
    <w:rsid w:val="00C21C35"/>
    <w:pPr>
      <w:spacing w:after="80"/>
    </w:pPr>
    <w:rPr>
      <w:rFonts w:ascii="Times New Roman" w:eastAsia="Times New Roman" w:hAnsi="Times New Roman" w:cs="Times New Roman"/>
      <w:sz w:val="20"/>
      <w:szCs w:val="20"/>
    </w:rPr>
  </w:style>
  <w:style w:type="paragraph" w:customStyle="1" w:styleId="NavaratriBook">
    <w:name w:val="Navaratri Book"/>
    <w:basedOn w:val="Heading1"/>
    <w:next w:val="Heading1"/>
    <w:link w:val="NavaratriBookChar"/>
    <w:qFormat/>
    <w:rsid w:val="00C21C35"/>
    <w:pPr>
      <w:spacing w:line="480" w:lineRule="auto"/>
    </w:pPr>
    <w:rPr>
      <w:rFonts w:eastAsia="TITUS Cyberbit Basic" w:cs="TITUS Cyberbit Basic"/>
      <w:b w:val="0"/>
      <w:bCs w:val="0"/>
      <w:smallCaps w:val="0"/>
      <w:lang w:val="en-CA"/>
    </w:rPr>
  </w:style>
  <w:style w:type="paragraph" w:customStyle="1" w:styleId="Secondsubheading">
    <w:name w:val="Second subheading"/>
    <w:basedOn w:val="Normal"/>
    <w:autoRedefine/>
    <w:qFormat/>
    <w:rsid w:val="00C21C35"/>
    <w:pPr>
      <w:spacing w:line="480" w:lineRule="auto"/>
    </w:pPr>
    <w:rPr>
      <w:rFonts w:ascii="Times New Roman" w:hAnsi="Times New Roman" w:cs="Times New Roman"/>
      <w:i/>
    </w:rPr>
  </w:style>
  <w:style w:type="paragraph" w:styleId="Title">
    <w:name w:val="Title"/>
    <w:basedOn w:val="Normal"/>
    <w:next w:val="Normal"/>
    <w:link w:val="TitleChar"/>
    <w:autoRedefine/>
    <w:uiPriority w:val="10"/>
    <w:qFormat/>
    <w:rsid w:val="00C21C35"/>
    <w:pPr>
      <w:pBdr>
        <w:bottom w:val="single" w:sz="8" w:space="4" w:color="4F81BD"/>
      </w:pBdr>
      <w:spacing w:after="300"/>
      <w:contextualSpacing/>
      <w:jc w:val="center"/>
    </w:pPr>
    <w:rPr>
      <w:rFonts w:ascii="Times New Roman" w:eastAsiaTheme="majorEastAsia" w:hAnsi="Times New Roman" w:cstheme="majorBidi"/>
      <w:spacing w:val="5"/>
      <w:kern w:val="2"/>
      <w:sz w:val="52"/>
      <w:szCs w:val="52"/>
    </w:rPr>
  </w:style>
  <w:style w:type="paragraph" w:customStyle="1" w:styleId="Subsection4">
    <w:name w:val="Subsection 4"/>
    <w:basedOn w:val="Heading3"/>
    <w:link w:val="Subsection4Char"/>
    <w:autoRedefine/>
    <w:qFormat/>
    <w:rsid w:val="005D0CE5"/>
    <w:rPr>
      <w:i w:val="0"/>
    </w:rPr>
  </w:style>
  <w:style w:type="paragraph" w:styleId="BalloonText">
    <w:name w:val="Balloon Text"/>
    <w:basedOn w:val="Normal"/>
    <w:link w:val="BalloonTextChar"/>
    <w:uiPriority w:val="99"/>
    <w:semiHidden/>
    <w:unhideWhenUsed/>
    <w:qFormat/>
    <w:rsid w:val="00D12806"/>
    <w:rPr>
      <w:rFonts w:ascii="Times New Roman" w:hAnsi="Times New Roman" w:cs="Times New Roman"/>
      <w:sz w:val="18"/>
      <w:szCs w:val="18"/>
    </w:rPr>
  </w:style>
  <w:style w:type="paragraph" w:styleId="CommentText">
    <w:name w:val="annotation text"/>
    <w:basedOn w:val="Normal"/>
    <w:link w:val="CommentTextChar"/>
    <w:uiPriority w:val="99"/>
    <w:unhideWhenUsed/>
    <w:qFormat/>
    <w:rPr>
      <w:sz w:val="20"/>
      <w:szCs w:val="20"/>
    </w:rPr>
  </w:style>
  <w:style w:type="paragraph" w:styleId="Revision">
    <w:name w:val="Revision"/>
    <w:uiPriority w:val="99"/>
    <w:semiHidden/>
    <w:qFormat/>
    <w:rsid w:val="0042154B"/>
    <w:pPr>
      <w:suppressAutoHyphens w:val="0"/>
    </w:pPr>
  </w:style>
  <w:style w:type="paragraph" w:styleId="CommentSubject">
    <w:name w:val="annotation subject"/>
    <w:basedOn w:val="CommentText"/>
    <w:next w:val="CommentText"/>
    <w:link w:val="CommentSubjectChar"/>
    <w:uiPriority w:val="99"/>
    <w:semiHidden/>
    <w:unhideWhenUsed/>
    <w:rsid w:val="00947B38"/>
    <w:rPr>
      <w:b/>
      <w:bCs/>
    </w:rPr>
  </w:style>
  <w:style w:type="character" w:customStyle="1" w:styleId="CommentSubjectChar">
    <w:name w:val="Comment Subject Char"/>
    <w:basedOn w:val="CommentTextChar"/>
    <w:link w:val="CommentSubject"/>
    <w:uiPriority w:val="99"/>
    <w:semiHidden/>
    <w:rsid w:val="00947B38"/>
    <w:rPr>
      <w:b/>
      <w:bCs/>
      <w:sz w:val="20"/>
      <w:szCs w:val="20"/>
    </w:rPr>
  </w:style>
  <w:style w:type="paragraph" w:styleId="Header">
    <w:name w:val="header"/>
    <w:basedOn w:val="Normal"/>
    <w:link w:val="HeaderChar"/>
    <w:uiPriority w:val="99"/>
    <w:unhideWhenUsed/>
    <w:rsid w:val="008F7BF3"/>
    <w:pPr>
      <w:tabs>
        <w:tab w:val="center" w:pos="4680"/>
        <w:tab w:val="right" w:pos="9360"/>
      </w:tabs>
    </w:pPr>
  </w:style>
  <w:style w:type="character" w:customStyle="1" w:styleId="HeaderChar">
    <w:name w:val="Header Char"/>
    <w:basedOn w:val="DefaultParagraphFont"/>
    <w:link w:val="Header"/>
    <w:uiPriority w:val="99"/>
    <w:rsid w:val="008F7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230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srikanta-sastri.org/jain-traditions-rajavali-katha/4589254219" TargetMode="External"/><Relationship Id="rId18"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hyperlink" Target="https://timesofindia.indiatimes.com/india/karnataka-govt-clears-minority-status-for-lingayats/articleshow/63373048.cms"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thewire.in/politics/karnataka-election-lingayat-hindutva"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6475</Words>
  <Characters>36908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University of Arizona</Company>
  <LinksUpToDate>false</LinksUpToDate>
  <CharactersWithSpaces>43297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Simmons</dc:creator>
  <dc:description/>
  <cp:lastModifiedBy>Simmons, Caleb - (calebsimmons)</cp:lastModifiedBy>
  <cp:revision>2</cp:revision>
  <cp:lastPrinted>2018-02-28T17:06:00Z</cp:lastPrinted>
  <dcterms:created xsi:type="dcterms:W3CDTF">2024-03-18T22:11:00Z</dcterms:created>
  <dcterms:modified xsi:type="dcterms:W3CDTF">2024-03-18T22:11:00Z</dcterms:modified>
  <dc:language>en-US</dc:language>
</cp:coreProperties>
</file>