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62" w:type="default"/>
    </w:sectPr>
    <w:p>
      <w:pPr>
        <w:spacing w:lineRule="auto"/>
      </w:pPr>
      <w:r>
        <w:rPr/>
        <w:t xml:space="preserve"/>
      </w:r>
    </w:p>
    <w:p>
      <w:pPr>
        <w:spacing w:lineRule="auto"/>
      </w:pPr>
      <w:r>
        <w:rPr>
          <w:color w:val="7fa6f5"/>
        </w:rPr>
        <w:t xml:space="preserve">PRODUCT DOCUMENTATION</w:t>
      </w:r>
    </w:p>
    <w:p>
      <w:pPr>
        <w:pStyle w:val="Heading1"/>
        <w:spacing w:lineRule="auto"/>
      </w:pPr>
      <w:r>
        <w:rPr>
          <w:sz w:val="64"/>
        </w:rPr>
        <w:t xml:space="preserve">IOC INTELLIGENCE PLATFORM</w:t>
      </w:r>
    </w:p>
    <w:p>
      <w:pPr>
        <w:spacing w:lineRule="auto"/>
      </w:pPr>
      <w:r>
        <w:rPr>
          <w:sz w:val="26"/>
        </w:rPr>
        <w:t xml:space="preserve">Unified IOC Investigation, Threat Intelligence Correlation &amp; AI-Assisted Analysis</w:t>
      </w:r>
    </w:p>
    <w:p>
      <w:pPr>
        <w:spacing w:lineRule="auto"/>
      </w:pPr>
      <w:r>
        <w:rPr/>
      </w:r>
    </w:p>
    <w:p>
      <w:pPr>
        <w:spacing w:lineRule="auto"/>
      </w:pPr>
      <w:r>
        <w:rPr>
          <w:b/>
        </w:rPr>
        <w:t xml:space="preserve">Version:</w:t>
      </w:r>
      <w:r>
        <w:rPr/>
        <w:t xml:space="preserve"> 0.1.0</w:t>
      </w:r>
    </w:p>
    <w:p>
      <w:pPr>
        <w:spacing w:lineRule="auto"/>
      </w:pPr>
      <w:r>
        <w:rPr>
          <w:b/>
        </w:rPr>
        <w:t xml:space="preserve">Windows Installer:</w:t>
      </w:r>
      <w:r>
        <w:rPr/>
        <w:t xml:space="preserve"> IOC-Intelligence-Platform-Setup-0.1.0.exe</w:t>
      </w:r>
    </w:p>
    <w:p>
      <w:pPr>
        <w:spacing w:lineRule="auto"/>
      </w:pPr>
      <w:r>
        <w:rPr>
          <w:b/>
        </w:rPr>
        <w:t xml:space="preserve">Installer SHA-256:</w:t>
      </w:r>
      <w:r>
        <w:rPr/>
        <w:t xml:space="preserve"> b32b1cc02205a0a53dda200d6bc336943a71df6b930cecd2dff45b28d84e81e8</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322921"/>
            <wp:effectExtent b="0" l="0" r="0" t="0"/>
            <wp:docPr id="2" name="image-nXw5WR3hRmoae2qTsSYF_.png"/>
            <a:graphic>
              <a:graphicData uri="http://schemas.openxmlformats.org/drawingml/2006/picture">
                <pic:pic>
                  <pic:nvPicPr>
                    <pic:cNvPr id="2" name="image-nXw5WR3hRmoae2qTsSYF_.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RIKZ0-px3JiwFcxvudFdA.png"/>
            <a:graphic>
              <a:graphicData uri="http://schemas.openxmlformats.org/drawingml/2006/picture">
                <pic:pic>
                  <pic:nvPicPr>
                    <pic:cNvPr id="4" name="image-RIKZ0-px3JiwFcxvudFdA.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YgdA2JiCRnEG-fOBxiIR1.png"/>
            <a:graphic>
              <a:graphicData uri="http://schemas.openxmlformats.org/drawingml/2006/picture">
                <pic:pic>
                  <pic:nvPicPr>
                    <pic:cNvPr id="6" name="image-YgdA2JiCRnEG-fOBxiIR1.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blndj0gzZ1B3t42QN0J2u.png"/>
            <a:graphic>
              <a:graphicData uri="http://schemas.openxmlformats.org/drawingml/2006/picture">
                <pic:pic>
                  <pic:nvPicPr>
                    <pic:cNvPr id="8" name="image-blndj0gzZ1B3t42QN0J2u.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JeSBIskTdpkxaN9pJ4q_E.png"/>
            <a:graphic>
              <a:graphicData uri="http://schemas.openxmlformats.org/drawingml/2006/picture">
                <pic:pic>
                  <pic:nvPicPr>
                    <pic:cNvPr id="10" name="image-JeSBIskTdpkxaN9pJ4q_E.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tz-WwQrRNmY6BXy_zX92c.png"/>
            <a:graphic>
              <a:graphicData uri="http://schemas.openxmlformats.org/drawingml/2006/picture">
                <pic:pic>
                  <pic:nvPicPr>
                    <pic:cNvPr id="12" name="image-tz-WwQrRNmY6BXy_zX92c.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0h72qafYEfRxNwhmawVzh.png"/>
            <a:graphic>
              <a:graphicData uri="http://schemas.openxmlformats.org/drawingml/2006/picture">
                <pic:pic>
                  <pic:nvPicPr>
                    <pic:cNvPr id="14" name="image-0h72qafYEfRxNwhmawVzh.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efZSUCSX-P_Q-y_8b2bXK.png"/>
            <a:graphic>
              <a:graphicData uri="http://schemas.openxmlformats.org/drawingml/2006/picture">
                <pic:pic>
                  <pic:nvPicPr>
                    <pic:cNvPr id="16" name="image-efZSUCSX-P_Q-y_8b2bXK.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72uKSUfRV5EJpiYsp617z.png"/>
            <a:graphic>
              <a:graphicData uri="http://schemas.openxmlformats.org/drawingml/2006/picture">
                <pic:pic>
                  <pic:nvPicPr>
                    <pic:cNvPr id="18" name="image-72uKSUfRV5EJpiYsp617z.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k0nUjdwyOsbt0A2GINcFz.png"/>
            <a:graphic>
              <a:graphicData uri="http://schemas.openxmlformats.org/drawingml/2006/picture">
                <pic:pic>
                  <pic:nvPicPr>
                    <pic:cNvPr id="20" name="image-k0nUjdwyOsbt0A2GINcFz.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N8DFFrLHIw-omWv4ZOEIa.png"/>
            <a:graphic>
              <a:graphicData uri="http://schemas.openxmlformats.org/drawingml/2006/picture">
                <pic:pic>
                  <pic:nvPicPr>
                    <pic:cNvPr id="22" name="image-N8DFFrLHIw-omWv4ZOEIa.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8_FKy71-Btp0pR-Ewh2vz.png"/>
            <a:graphic>
              <a:graphicData uri="http://schemas.openxmlformats.org/drawingml/2006/picture">
                <pic:pic>
                  <pic:nvPicPr>
                    <pic:cNvPr id="24" name="image-8_FKy71-Btp0pR-Ewh2vz.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gt-Bl8JO7R9m-8Q2YtOL-.png"/>
            <a:graphic>
              <a:graphicData uri="http://schemas.openxmlformats.org/drawingml/2006/picture">
                <pic:pic>
                  <pic:nvPicPr>
                    <pic:cNvPr id="26" name="image-gt-Bl8JO7R9m-8Q2YtOL-.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TB03NacofYSJXIQivYDDC.png"/>
            <a:graphic>
              <a:graphicData uri="http://schemas.openxmlformats.org/drawingml/2006/picture">
                <pic:pic>
                  <pic:nvPicPr>
                    <pic:cNvPr id="28" name="image-TB03NacofYSJXIQivYDDC.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YOaDtCLSwnStMsnNXs9Rv.png"/>
            <a:graphic>
              <a:graphicData uri="http://schemas.openxmlformats.org/drawingml/2006/picture">
                <pic:pic>
                  <pic:nvPicPr>
                    <pic:cNvPr id="30" name="image-YOaDtCLSwnStMsnNXs9Rv.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EY2wSR6TxoOLFqkH9DUZk.png"/>
            <a:graphic>
              <a:graphicData uri="http://schemas.openxmlformats.org/drawingml/2006/picture">
                <pic:pic>
                  <pic:nvPicPr>
                    <pic:cNvPr id="32" name="image-EY2wSR6TxoOLFqkH9DUZk.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Srf9PMlpYtLu44uOUrAIY.png"/>
            <a:graphic>
              <a:graphicData uri="http://schemas.openxmlformats.org/drawingml/2006/picture">
                <pic:pic>
                  <pic:nvPicPr>
                    <pic:cNvPr id="34" name="image-Srf9PMlpYtLu44uOUrAIY.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BMzFoiYAbiKGCwc0mQyjL.png"/>
            <a:graphic>
              <a:graphicData uri="http://schemas.openxmlformats.org/drawingml/2006/picture">
                <pic:pic>
                  <pic:nvPicPr>
                    <pic:cNvPr id="36" name="image-BMzFoiYAbiKGCwc0mQyjL.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BknOp70XFHPdYpGcB2Apz.png"/>
            <a:graphic>
              <a:graphicData uri="http://schemas.openxmlformats.org/drawingml/2006/picture">
                <pic:pic>
                  <pic:nvPicPr>
                    <pic:cNvPr id="38" name="image-BknOp70XFHPdYpGcB2Apz.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322921"/>
            <wp:effectExtent b="0" l="0" r="0" t="0"/>
            <wp:docPr id="40" name="image-3kTKmhCAFiVXeXu7WnJ_l.png"/>
            <a:graphic>
              <a:graphicData uri="http://schemas.openxmlformats.org/drawingml/2006/picture">
                <pic:pic>
                  <pic:nvPicPr>
                    <pic:cNvPr id="40" name="image-3kTKmhCAFiVXeXu7WnJ_l.png" descr="Figure 20"/>
                    <pic:cNvPicPr/>
                  </pic:nvPicPr>
                  <pic:blipFill>
                    <a:blip r:embed="rId45"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MMWWNODtUOoPUEzVZXJWU.png"/>
            <a:graphic>
              <a:graphicData uri="http://schemas.openxmlformats.org/drawingml/2006/picture">
                <pic:pic>
                  <pic:nvPicPr>
                    <pic:cNvPr id="42" name="image-MMWWNODtUOoPUEzVZXJWU.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ywPymq14uQWN603nr0Ks5.png"/>
            <a:graphic>
              <a:graphicData uri="http://schemas.openxmlformats.org/drawingml/2006/picture">
                <pic:pic>
                  <pic:nvPicPr>
                    <pic:cNvPr id="44" name="image-ywPymq14uQWN603nr0Ks5.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IUQEtUsmUrhJ26AiMCMEC.png"/>
            <a:graphic>
              <a:graphicData uri="http://schemas.openxmlformats.org/drawingml/2006/picture">
                <pic:pic>
                  <pic:nvPicPr>
                    <pic:cNvPr id="46" name="image-IUQEtUsmUrhJ26AiMCMEC.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1jwXbUTjiteeo8Q2OiLX4.png"/>
            <a:graphic>
              <a:graphicData uri="http://schemas.openxmlformats.org/drawingml/2006/picture">
                <pic:pic>
                  <pic:nvPicPr>
                    <pic:cNvPr id="48" name="image-1jwXbUTjiteeo8Q2OiLX4.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ibmAu8UN0LHKqrjT4jx2z.png"/>
            <a:graphic>
              <a:graphicData uri="http://schemas.openxmlformats.org/drawingml/2006/picture">
                <pic:pic>
                  <pic:nvPicPr>
                    <pic:cNvPr id="50" name="image-ibmAu8UN0LHKqrjT4jx2z.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WZ9KyXcr_hk0pZgd_w5-6.png"/>
            <a:graphic>
              <a:graphicData uri="http://schemas.openxmlformats.org/drawingml/2006/picture">
                <pic:pic>
                  <pic:nvPicPr>
                    <pic:cNvPr id="52" name="image-WZ9KyXcr_hk0pZgd_w5-6.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E5CaEKThspuQRNkqkC5qX.png"/>
            <a:graphic>
              <a:graphicData uri="http://schemas.openxmlformats.org/drawingml/2006/picture">
                <pic:pic>
                  <pic:nvPicPr>
                    <pic:cNvPr id="54" name="image-E5CaEKThspuQRNkqkC5qX.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zztM9eMHxTSmizulfAtMH.png"/>
            <a:graphic>
              <a:graphicData uri="http://schemas.openxmlformats.org/drawingml/2006/picture">
                <pic:pic>
                  <pic:nvPicPr>
                    <pic:cNvPr id="56" name="image-zztM9eMHxTSmizulfAtMH.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322921"/>
            <wp:effectExtent b="0" l="0" r="0" t="0"/>
            <wp:docPr id="58" name="image-AwPbgPgMBbpwEzgcnzybB.png"/>
            <a:graphic>
              <a:graphicData uri="http://schemas.openxmlformats.org/drawingml/2006/picture">
                <pic:pic>
                  <pic:nvPicPr>
                    <pic:cNvPr id="58" name="image-AwPbgPgMBbpwEzgcnzybB.png" descr="Figure 29"/>
                    <pic:cNvPicPr/>
                  </pic:nvPicPr>
                  <pic:blipFill>
                    <a:blip r:embed="rId63" cstate="print"/>
                    <a:srcRect b="0" l="0" r="0" t="0"/>
                    <a:stretch>
                      <a:fillRect/>
                    </a:stretch>
                  </pic:blipFill>
                  <pic:spPr>
                    <a:xfrm>
                      <a:off x="0" y="0"/>
                      <a:ext cx="6629400" cy="4322921"/>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FV5iwKhmozfrhTBFDGO6N.png"/>
            <a:graphic>
              <a:graphicData uri="http://schemas.openxmlformats.org/drawingml/2006/picture">
                <pic:pic>
                  <pic:nvPicPr>
                    <pic:cNvPr id="60" name="image-FV5iwKhmozfrhTBFDGO6N.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6914833"/>
            <wp:effectExtent b="0" l="0" r="0" t="0"/>
            <wp:docPr id="62" name="image-r-VeJ8UIKp7-yPAJwp4Uu.png"/>
            <a:graphic>
              <a:graphicData uri="http://schemas.openxmlformats.org/drawingml/2006/picture">
                <pic:pic>
                  <pic:nvPicPr>
                    <pic:cNvPr id="62" name="image-r-VeJ8UIKp7-yPAJwp4Uu.png" descr="Figure 31"/>
                    <pic:cNvPicPr/>
                  </pic:nvPicPr>
                  <pic:blipFill>
                    <a:blip r:embed="rId67" cstate="print"/>
                    <a:srcRect b="0" l="0" r="0" t="0"/>
                    <a:stretch>
                      <a:fillRect/>
                    </a:stretch>
                  </pic:blipFill>
                  <pic:spPr>
                    <a:xfrm>
                      <a:off x="0" y="0"/>
                      <a:ext cx="6629400" cy="6914833"/>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3g07CynzgUBdCT4kwTtmy.png"/>
            <a:graphic>
              <a:graphicData uri="http://schemas.openxmlformats.org/drawingml/2006/picture">
                <pic:pic>
                  <pic:nvPicPr>
                    <pic:cNvPr id="64" name="image-3g07CynzgUBdCT4kwTtmy.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QDD1X2Zl49gik122BVYAd.png"/>
            <a:graphic>
              <a:graphicData uri="http://schemas.openxmlformats.org/drawingml/2006/picture">
                <pic:pic>
                  <pic:nvPicPr>
                    <pic:cNvPr id="66" name="image-QDD1X2Zl49gik122BVYAd.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eblboVfdAI_mP3n7_tNaO.png"/>
            <a:graphic>
              <a:graphicData uri="http://schemas.openxmlformats.org/drawingml/2006/picture">
                <pic:pic>
                  <pic:nvPicPr>
                    <pic:cNvPr id="68" name="image-eblboVfdAI_mP3n7_tNaO.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25yDoofc-mCNpzOKEO2gI.png"/>
            <a:graphic>
              <a:graphicData uri="http://schemas.openxmlformats.org/drawingml/2006/picture">
                <pic:pic>
                  <pic:nvPicPr>
                    <pic:cNvPr id="70" name="image-25yDoofc-mCNpzOKEO2gI.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ss6JdFeErFD5BqJ5t36XQ.png"/>
            <a:graphic>
              <a:graphicData uri="http://schemas.openxmlformats.org/drawingml/2006/picture">
                <pic:pic>
                  <pic:nvPicPr>
                    <pic:cNvPr id="72" name="image-ss6JdFeErFD5BqJ5t36XQ.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Hoc-cHU0U7Us6F559tLhD.png"/>
            <a:graphic>
              <a:graphicData uri="http://schemas.openxmlformats.org/drawingml/2006/picture">
                <pic:pic>
                  <pic:nvPicPr>
                    <pic:cNvPr id="74" name="image-Hoc-cHU0U7Us6F559tLhD.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zurLMvcLa_NI2tfMMjgSZ.png"/>
            <a:graphic>
              <a:graphicData uri="http://schemas.openxmlformats.org/drawingml/2006/picture">
                <pic:pic>
                  <pic:nvPicPr>
                    <pic:cNvPr id="76" name="image-zurLMvcLa_NI2tfMMjgSZ.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w1x2DLALSy3wuNMUReFEa.png"/>
            <a:graphic>
              <a:graphicData uri="http://schemas.openxmlformats.org/drawingml/2006/picture">
                <pic:pic>
                  <pic:nvPicPr>
                    <pic:cNvPr id="78" name="image-w1x2DLALSy3wuNMUReFEa.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w-ZOOYiYczLORpOvIpHyt.png"/>
            <a:graphic>
              <a:graphicData uri="http://schemas.openxmlformats.org/drawingml/2006/picture">
                <pic:pic>
                  <pic:nvPicPr>
                    <pic:cNvPr id="80" name="image-w-ZOOYiYczLORpOvIpHyt.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nN499I9SellWU8prfhUoN.png"/>
            <a:graphic>
              <a:graphicData uri="http://schemas.openxmlformats.org/drawingml/2006/picture">
                <pic:pic>
                  <pic:nvPicPr>
                    <pic:cNvPr id="82" name="image-nN499I9SellWU8prfhUoN.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Kj031zYAW8pfw41rgc2Eg.png"/>
            <a:graphic>
              <a:graphicData uri="http://schemas.openxmlformats.org/drawingml/2006/picture">
                <pic:pic>
                  <pic:nvPicPr>
                    <pic:cNvPr id="84" name="image-Kj031zYAW8pfw41rgc2Eg.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2mi7S2aKS9x7Kdo8gMJnI.png"/>
            <a:graphic>
              <a:graphicData uri="http://schemas.openxmlformats.org/drawingml/2006/picture">
                <pic:pic>
                  <pic:nvPicPr>
                    <pic:cNvPr id="86" name="image-2mi7S2aKS9x7Kdo8gMJnI.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4RW_EExL1Dwy6U8x7l3pi.png"/>
            <a:graphic>
              <a:graphicData uri="http://schemas.openxmlformats.org/drawingml/2006/picture">
                <pic:pic>
                  <pic:nvPicPr>
                    <pic:cNvPr id="88" name="image-4RW_EExL1Dwy6U8x7l3pi.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H99qCMFShCqerlYpRnhll.png"/>
            <a:graphic>
              <a:graphicData uri="http://schemas.openxmlformats.org/drawingml/2006/picture">
                <pic:pic>
                  <pic:nvPicPr>
                    <pic:cNvPr id="90" name="image-H99qCMFShCqerlYpRnhll.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jlenI7AeiOTjNAoOHEoxr.png"/>
            <a:graphic>
              <a:graphicData uri="http://schemas.openxmlformats.org/drawingml/2006/picture">
                <pic:pic>
                  <pic:nvPicPr>
                    <pic:cNvPr id="92" name="image-jlenI7AeiOTjNAoOHEoxr.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Ucao8TuOdJBAnDd7T0CHg.png"/>
            <a:graphic>
              <a:graphicData uri="http://schemas.openxmlformats.org/drawingml/2006/picture">
                <pic:pic>
                  <pic:nvPicPr>
                    <pic:cNvPr id="94" name="image-Ucao8TuOdJBAnDd7T0CHg.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IDtwghx9xcpE9t63WQp1j.png"/>
            <a:graphic>
              <a:graphicData uri="http://schemas.openxmlformats.org/drawingml/2006/picture">
                <pic:pic>
                  <pic:nvPicPr>
                    <pic:cNvPr id="96" name="image-IDtwghx9xcpE9t63WQp1j.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MxaNhwle-8my9-j-HSF5S.png"/>
            <a:graphic>
              <a:graphicData uri="http://schemas.openxmlformats.org/drawingml/2006/picture">
                <pic:pic>
                  <pic:nvPicPr>
                    <pic:cNvPr id="98" name="image-MxaNhwle-8my9-j-HSF5S.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pU9N9Aqh-0LaGNYaom1Bn.png"/>
            <a:graphic>
              <a:graphicData uri="http://schemas.openxmlformats.org/drawingml/2006/picture">
                <pic:pic>
                  <pic:nvPicPr>
                    <pic:cNvPr id="100" name="image-pU9N9Aqh-0LaGNYaom1Bn.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HJn7ncjlmVnTrYWzEXZPB.png"/>
            <a:graphic>
              <a:graphicData uri="http://schemas.openxmlformats.org/drawingml/2006/picture">
                <pic:pic>
                  <pic:nvPicPr>
                    <pic:cNvPr id="102" name="image-HJn7ncjlmVnTrYWzEXZPB.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rRM2yCQngOfS_FlUQdyam.png"/>
            <a:graphic>
              <a:graphicData uri="http://schemas.openxmlformats.org/drawingml/2006/picture">
                <pic:pic>
                  <pic:nvPicPr>
                    <pic:cNvPr id="104" name="image-rRM2yCQngOfS_FlUQdyam.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5317331"/>
            <wp:effectExtent b="0" l="0" r="0" t="0"/>
            <wp:docPr id="106" name="image-7OJ02Yq8WmnIziis-yv18.png"/>
            <a:graphic>
              <a:graphicData uri="http://schemas.openxmlformats.org/drawingml/2006/picture">
                <pic:pic>
                  <pic:nvPicPr>
                    <pic:cNvPr id="106" name="image-7OJ02Yq8WmnIziis-yv18.png" descr="Figure 53"/>
                    <pic:cNvPicPr/>
                  </pic:nvPicPr>
                  <pic:blipFill>
                    <a:blip r:embed="rId111" cstate="print"/>
                    <a:srcRect b="0" l="0" r="0" t="0"/>
                    <a:stretch>
                      <a:fillRect/>
                    </a:stretch>
                  </pic:blipFill>
                  <pic:spPr>
                    <a:xfrm>
                      <a:off x="0" y="0"/>
                      <a:ext cx="6629400" cy="5317331"/>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LQH661cy4guEAuZs-QhXj.png"/>
            <a:graphic>
              <a:graphicData uri="http://schemas.openxmlformats.org/drawingml/2006/picture">
                <pic:pic>
                  <pic:nvPicPr>
                    <pic:cNvPr id="108" name="image-LQH661cy4guEAuZs-QhXj.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322921"/>
            <wp:effectExtent b="0" l="0" r="0" t="0"/>
            <wp:docPr id="110" name="image-Lf8ySBrBOO2WbVRKVqoLs.png"/>
            <a:graphic>
              <a:graphicData uri="http://schemas.openxmlformats.org/drawingml/2006/picture">
                <pic:pic>
                  <pic:nvPicPr>
                    <pic:cNvPr id="110" name="image-Lf8ySBrBOO2WbVRKVqoLs.png" descr="Figure 55"/>
                    <pic:cNvPicPr/>
                  </pic:nvPicPr>
                  <pic:blipFill>
                    <a:blip r:embed="rId115" cstate="print"/>
                    <a:srcRect b="0" l="0" r="0" t="0"/>
                    <a:stretch>
                      <a:fillRect/>
                    </a:stretch>
                  </pic:blipFill>
                  <pic:spPr>
                    <a:xfrm>
                      <a:off x="0" y="0"/>
                      <a:ext cx="6629400" cy="4322921"/>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3Gosz1bGp_a_Cxqtz55EU.png"/>
            <a:graphic>
              <a:graphicData uri="http://schemas.openxmlformats.org/drawingml/2006/picture">
                <pic:pic>
                  <pic:nvPicPr>
                    <pic:cNvPr id="112" name="image-3Gosz1bGp_a_Cxqtz55EU.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lh86sU7TGqYAPZ7eph9jd.png"/>
            <a:graphic>
              <a:graphicData uri="http://schemas.openxmlformats.org/drawingml/2006/picture">
                <pic:pic>
                  <pic:nvPicPr>
                    <pic:cNvPr id="114" name="image-lh86sU7TGqYAPZ7eph9jd.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Zv2R7NvJT3NYlcpUfHBho.png"/>
            <a:graphic>
              <a:graphicData uri="http://schemas.openxmlformats.org/drawingml/2006/picture">
                <pic:pic>
                  <pic:nvPicPr>
                    <pic:cNvPr id="116" name="image-Zv2R7NvJT3NYlcpUfHBho.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MrDdS0Dr_UaMHU7TuXOP0.png"/>
            <a:graphic>
              <a:graphicData uri="http://schemas.openxmlformats.org/drawingml/2006/picture">
                <pic:pic>
                  <pic:nvPicPr>
                    <pic:cNvPr id="118" name="image-MrDdS0Dr_UaMHU7TuXOP0.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WXGlA93mu111pzBqvo40R.png"/>
            <a:graphic>
              <a:graphicData uri="http://schemas.openxmlformats.org/drawingml/2006/picture">
                <pic:pic>
                  <pic:nvPicPr>
                    <pic:cNvPr id="120" name="image-WXGlA93mu111pzBqvo40R.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3ZcL7cLK-oIbLWQTsqXiv.png"/>
            <a:graphic>
              <a:graphicData uri="http://schemas.openxmlformats.org/drawingml/2006/picture">
                <pic:pic>
                  <pic:nvPicPr>
                    <pic:cNvPr id="122" name="image-3ZcL7cLK-oIbLWQTsqXiv.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71li41KYyOELzYEtTN0Fz.png"/>
            <a:graphic>
              <a:graphicData uri="http://schemas.openxmlformats.org/drawingml/2006/picture">
                <pic:pic>
                  <pic:nvPicPr>
                    <pic:cNvPr id="124" name="image-71li41KYyOELzYEtTN0Fz.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NaNsMkkjs5NyWAF-fLoIV.png"/>
            <a:graphic>
              <a:graphicData uri="http://schemas.openxmlformats.org/drawingml/2006/picture">
                <pic:pic>
                  <pic:nvPicPr>
                    <pic:cNvPr id="126" name="image-NaNsMkkjs5NyWAF-fLoIV.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35"/>
        </w:numPr>
        <w:spacing w:lineRule="auto"/>
      </w:pPr>
      <w:r>
        <w:rPr>
          <w:b/>
        </w:rPr>
        <w:t xml:space="preserve">SQLAlchemy 2.0</w:t>
      </w:r>
      <w:r>
        <w:rPr/>
        <w:t xml:space="preserve">, async, with </w:t>
      </w:r>
      <w:r>
        <w:rPr/>
        <w:t xml:space="preserve">asyncpg</w:t>
      </w:r>
      <w:r>
        <w:rPr/>
        <w:t xml:space="preserve"> as the Postgres driver.</w:t>
      </w:r>
    </w:p>
    <w:p>
      <w:pPr>
        <w:numPr>
          <w:ilvl w:val="0"/>
          <w:numId w:val="35"/>
        </w:numPr>
        <w:spacing w:lineRule="auto"/>
      </w:pPr>
      <w:r>
        <w:rPr>
          <w:b/>
        </w:rPr>
        <w:t xml:space="preserve">Alembic</w:t>
      </w:r>
      <w:r>
        <w:rPr/>
        <w:t xml:space="preserve"> for schema migrations (</w:t>
      </w:r>
      <w:r>
        <w:rPr/>
        <w:t xml:space="preserve">backend/alembic/</w:t>
      </w:r>
      <w:r>
        <w:rPr/>
        <w:t xml:space="preserve">).</w:t>
      </w:r>
    </w:p>
    <w:p>
      <w:pPr>
        <w:numPr>
          <w:ilvl w:val="0"/>
          <w:numId w:val="35"/>
        </w:numPr>
        <w:spacing w:lineRule="auto"/>
      </w:pPr>
      <w:r>
        <w:rPr>
          <w:b/>
        </w:rPr>
        <w:t xml:space="preserve">Celery 5.4</w:t>
      </w:r>
      <w:r>
        <w:rPr/>
        <w:t xml:space="preserve"> for the one background job described below.</w:t>
      </w:r>
    </w:p>
    <w:p>
      <w:pPr>
        <w:numPr>
          <w:ilvl w:val="0"/>
          <w:numId w:val="35"/>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128" name="image-S7bWf1b1JB-N5HKr5Xmbd.png"/>
            <a:graphic>
              <a:graphicData uri="http://schemas.openxmlformats.org/drawingml/2006/picture">
                <pic:pic>
                  <pic:nvPicPr>
                    <pic:cNvPr id="128" name="image-S7bWf1b1JB-N5HKr5Xmbd.png" descr="Figure 64"/>
                    <pic:cNvPicPr/>
                  </pic:nvPicPr>
                  <pic:blipFill>
                    <a:blip r:embed="rId133"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36"/>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36"/>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130" name="image-2o_sdQ6chLBEbvM6CYqvF.png"/>
            <a:graphic>
              <a:graphicData uri="http://schemas.openxmlformats.org/drawingml/2006/picture">
                <pic:pic>
                  <pic:nvPicPr>
                    <pic:cNvPr id="130" name="image-2o_sdQ6chLBEbvM6CYqvF.png" descr="Figure 65"/>
                    <pic:cNvPicPr/>
                  </pic:nvPicPr>
                  <pic:blipFill>
                    <a:blip r:embed="rId135"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7"/>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7"/>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32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7"/>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7"/>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7"/>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7"/>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7"/>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7"/>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7"/>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132" name="image-4YUGyzLwCmYFGw-pm0hTi.png"/>
            <a:graphic>
              <a:graphicData uri="http://schemas.openxmlformats.org/drawingml/2006/picture">
                <pic:pic>
                  <pic:nvPicPr>
                    <pic:cNvPr id="132" name="image-4YUGyzLwCmYFGw-pm0hTi.png" descr="Figure 66"/>
                    <pic:cNvPicPr/>
                  </pic:nvPicPr>
                  <pic:blipFill>
                    <a:blip r:embed="rId137"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AI Architecture (Technical)</w:t>
      </w:r>
    </w:p>
    <w:p>
      <w:pPr>
        <w:spacing w:lineRule="auto"/>
      </w:pPr>
      <w:r>
        <w:rPr/>
        <w:t xml:space="preserve">This section describes how HORIZON GRID's backend (</w:t>
      </w:r>
      <w:r>
        <w:rPr/>
        <w:t xml:space="preserve">backend/app/ai/</w:t>
      </w:r>
      <w:r>
        <w:rPr/>
        <w:t xml:space="preserve">) uses large language models to summarize and score an </w:t>
      </w:r>
      <w:r>
        <w:rPr>
          <w:b/>
        </w:rPr>
        <w:t xml:space="preserve">IOC</w:t>
      </w:r>
      <w:r>
        <w:rPr/>
        <w:t xml:space="preserve"> (Indicator of Compromise — a hash, IP, domain, URL, CVE, etc. submitted for lookup) once raw provider data has been collected. It assumes the reader is technically literate but new to this codebase, so product-specific components — </w:t>
      </w:r>
      <w:r>
        <w:rPr/>
        <w:t xml:space="preserve">ProviderResult</w:t>
      </w:r>
      <w:r>
        <w:rPr/>
        <w:t xml:space="preserve">, </w:t>
      </w:r>
      <w:r>
        <w:rPr/>
        <w:t xml:space="preserve">CorrelationResult</w:t>
      </w:r>
      <w:r>
        <w:rPr/>
        <w:t xml:space="preserve">, </w:t>
      </w:r>
      <w:r>
        <w:rPr/>
        <w:t xml:space="preserve">AISummaryRecord</w:t>
      </w:r>
      <w:r>
        <w:rPr/>
        <w:t xml:space="preserve">, </w:t>
      </w:r>
      <w:r>
        <w:rPr/>
        <w:t xml:space="preserve">IOCLookup</w:t>
      </w:r>
      <w:r>
        <w:rPr/>
        <w:t xml:space="preserve">, </w:t>
      </w:r>
      <w:r>
        <w:rPr/>
        <w:t xml:space="preserve">EvidenceItem</w:t>
      </w:r>
      <w:r>
        <w:rPr/>
        <w:t xml:space="preserve"> — are defined at first use.</w:t>
      </w:r>
    </w:p>
    <w:p>
      <w:pPr>
        <w:spacing w:lineRule="auto"/>
      </w:pPr>
      <w:r>
        <w:rPr/>
        <w:t xml:space="preserve">All facts below are traceable to </w:t>
      </w:r>
      <w:r>
        <w:rPr/>
        <w:t xml:space="preserve">backend/app/ai/service.py</w:t>
      </w:r>
      <w:r>
        <w:rPr/>
        <w:t xml:space="preserve">, </w:t>
      </w:r>
      <w:r>
        <w:rPr/>
        <w:t xml:space="preserve">schemas.py</w:t>
      </w:r>
      <w:r>
        <w:rPr/>
        <w:t xml:space="preserve">, </w:t>
      </w:r>
      <w:r>
        <w:rPr/>
        <w:t xml:space="preserve">analysis_service.py</w:t>
      </w:r>
      <w:r>
        <w:rPr/>
        <w:t xml:space="preserve">, </w:t>
      </w:r>
      <w:r>
        <w:rPr/>
        <w:t xml:space="preserve">hunting_service.py</w:t>
      </w:r>
      <w:r>
        <w:rPr/>
        <w:t xml:space="preserve">, </w:t>
      </w:r>
      <w:r>
        <w:rPr/>
        <w:t xml:space="preserve">analysis_schemas.py</w:t>
      </w:r>
      <w:r>
        <w:rPr/>
        <w:t xml:space="preserve">,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and </w:t>
      </w:r>
      <w:r>
        <w:rPr/>
        <w:t xml:space="preserve">openrouter_client.py</w:t>
      </w:r>
      <w:r>
        <w:rPr/>
        <w:t xml:space="preserve">.</w:t>
      </w:r>
    </w:p>
    <w:p>
      <w:pPr>
        <w:pStyle w:val="Heading2"/>
        <w:spacing w:lineRule="auto"/>
      </w:pPr>
      <w:r>
        <w:rPr/>
        <w:t xml:space="preserve">1. Supported AI Backends and Selection</w:t>
      </w:r>
    </w:p>
    <w:p>
      <w:pPr>
        <w:spacing w:lineRule="auto"/>
      </w:pPr>
      <w:r>
        <w:rPr/>
        <w:t xml:space="preserve">The active backend is a single configuration value, </w:t>
      </w:r>
      <w:r>
        <w:rPr/>
        <w:t xml:space="preserve">ai_backend</w:t>
      </w:r>
      <w:r>
        <w:rPr/>
        <w:t xml:space="preserve"> (</w:t>
      </w:r>
      <w:r>
        <w:rPr/>
        <w:t xml:space="preserve">app/core/config.py</w:t>
      </w:r>
      <w:r>
        <w:rPr/>
        <w:t xml:space="preserve"> line 69), defaulting to </w:t>
      </w:r>
      <w:r>
        <w:rPr/>
        <w:t xml:space="preserve">"ollama"</w:t>
      </w:r>
      <w:r>
        <w:rPr/>
        <w:t xml:space="preserve">. Eleven backends are implemented: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connection detail</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key; talks to </w:t>
            </w:r>
          </w:p>
          <w:p>
            <w:pPr>
              <w:spacing w:lineRule="auto"/>
            </w:pPr>
            <w:r>
              <w:rPr>
                <w:highlight w:val="lightGray"/>
              </w:rPr>
              <w:t xml:space="preserve">http://host.docker.internal:11434</w:t>
            </w:r>
          </w:p>
          <w:p>
            <w:pPr>
              <w:spacing w:lineRule="auto"/>
            </w:pPr>
            <w:r>
              <w:rPr/>
              <w:t xml:space="preserve">, model </w:t>
            </w:r>
          </w:p>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Messages API, tool-forced JSON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Converse API for Claude; supports bearer-token or IAM access-key/secret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 </w:t>
            </w:r>
          </w:p>
          <w:p>
            <w:pPr>
              <w:spacing w:lineRule="auto"/>
            </w:pPr>
            <w:r>
              <w:rPr>
                <w:highlight w:val="lightGray"/>
              </w:rPr>
              <w:t xml:space="preserve">generateContent</w:t>
            </w:r>
          </w:p>
          <w:p>
            <w:pPr>
              <w:spacing w:lineRule="auto"/>
            </w:pPr>
            <w:r>
              <w:rPr/>
              <w:t xml:space="preserve"> REST endpoint; JSON-schema response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api.groq.com</w:t>
            </w:r>
          </w:p>
          <w:p>
            <w:pPr>
              <w:spacing w:lineRule="auto"/>
            </w:pPr>
            <w:r>
              <w:rPr/>
              <w:t xml:space="preserve">; Bearer-token auth; default model </w:t>
            </w:r>
          </w:p>
          <w:p>
            <w:pPr>
              <w:spacing w:lineRule="auto"/>
            </w:pPr>
            <w:r>
              <w:rPr>
                <w:highlight w:val="lightGray"/>
              </w:rPr>
              <w:t xml:space="preserve">llama-3.3-70b-versatile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OpenAI's own chat-completions API at </w:t>
            </w:r>
          </w:p>
          <w:p>
            <w:pPr>
              <w:spacing w:lineRule="auto"/>
            </w:pPr>
            <w:r>
              <w:rPr>
                <w:highlight w:val="lightGray"/>
              </w:rPr>
              <w:t xml:space="preserve">api.openai.com</w:t>
            </w:r>
          </w:p>
          <w:p>
            <w:pPr>
              <w:spacing w:lineRule="auto"/>
            </w:pPr>
            <w:r>
              <w:rPr/>
              <w:t xml:space="preserve">; Bearer-token auth; forced tool-calling for structured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api.moonshot.ai</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api.deepseek.com</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api.x.ai</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Chat-completions API at </w:t>
            </w:r>
          </w:p>
          <w:p>
            <w:pPr>
              <w:spacing w:lineRule="auto"/>
            </w:pPr>
            <w:r>
              <w:rPr>
                <w:highlight w:val="lightGray"/>
              </w:rPr>
              <w:t xml:space="preserve">api.mistral.ai</w:t>
            </w:r>
          </w:p>
          <w:p>
            <w:pPr>
              <w:spacing w:lineRule="auto"/>
            </w:pPr>
            <w:r>
              <w:rPr/>
              <w:t xml:space="preserve">; Bearer-token auth; forced tool-calling for structured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meta-router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openrouter.ai</w:t>
            </w:r>
          </w:p>
          <w:p>
            <w:pPr>
              <w:spacing w:lineRule="auto"/>
            </w:pPr>
            <w:r>
              <w:rPr/>
              <w:t xml:space="preserve">, routing to many underlying model vendors; Bearer-token auth</w:t>
            </w:r>
          </w:p>
        </w:tc>
      </w:tr>
    </w:tbl>
    <w:p>
      <w:pPr>
        <w:spacing w:lineRule="auto"/>
      </w:pPr>
      <w:r>
        <w:rPr/>
      </w:r>
    </w:p>
    <w:p>
      <w:pPr>
        <w:spacing w:lineRule="auto"/>
      </w:pPr>
      <w:r>
        <w:rPr/>
        <w:t xml:space="preserve">All eleven client classes expose the </w:t>
      </w:r>
      <w:r>
        <w:rPr>
          <w:b/>
        </w:rPr>
        <w:t xml:space="preserve">same</w:t>
      </w:r>
      <w:r>
        <w:rPr/>
        <w:t xml:space="preserve"> async method signature — </w:t>
      </w:r>
      <w:r>
        <w:rPr/>
        <w:t xml:space="preserve">call_claude_json(system_prompt, user_prompt, json_schema, tool_name, max_tokens)</w:t>
      </w:r>
      <w:r>
        <w:rPr/>
        <w:t xml:space="preserve"> — so </w:t>
      </w:r>
      <w:r>
        <w:rPr/>
        <w:t xml:space="preserve">app/ai/service.py</w:t>
      </w:r>
      <w:r>
        <w:rPr/>
        <w:t xml:space="preserve">'s internal </w:t>
      </w:r>
      <w:r>
        <w:rPr/>
        <w:t xml:space="preserve">_get_ai_client()</w:t>
      </w:r>
      <w:r>
        <w:rPr/>
        <w:t xml:space="preserve"> never has to branch on which backend is active (service.py lines 42-78). This is a straightforward adapter pattern: swapping backends is a config change, not a code change. </w:t>
      </w:r>
      <w:r>
        <w:rPr/>
        <w:t xml:space="preserve">groq_client.py</w:t>
      </w:r>
      <w:r>
        <w:rPr/>
        <w:t xml:space="preserve"> and the five clients modeled on it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fit this pattern by targeting their vendor's own OpenAI-compatible chat-completions endpoint and using the same forced-single-tool-call technique the other backends use to coerce a structured JSON response, rather than a bespoke prompt format.</w:t>
      </w:r>
    </w:p>
    <w:p>
      <w:pPr>
        <w:spacing w:lineRule="auto"/>
      </w:pPr>
      <w:r>
        <w:rPr/>
        <w:t xml:space="preserve">Model-list handling now splits into two groups rather than "Groq vs. everyone else": Anthropic, Gemini, and Bedrock still use a hardcoded/static model list in the codebase. Every other backend discovers its model list </w:t>
      </w:r>
      <w:r>
        <w:rPr>
          <w:b/>
        </w:rPr>
        <w:t xml:space="preserve">live</w:t>
      </w:r>
      <w:r>
        <w:rPr/>
        <w:t xml:space="preserve"> instead — Groq, OpenAI, Kimi, DeepSeek, xAI, Mistral, and OpenRouter each query their own vendor </w:t>
      </w:r>
      <w:r>
        <w:rPr/>
        <w:t xml:space="preserve">GET /models</w:t>
      </w:r>
      <w:r>
        <w:rPr/>
        <w:t xml:space="preserve"> endpoint (exposed to the setup wizard and API consumers via the shared </w:t>
      </w:r>
      <w:r>
        <w:rPr/>
        <w:t xml:space="preserve">POST /api/v1/ai/{backend}/models</w:t>
      </w:r>
      <w:r>
        <w:rPr/>
        <w:t xml:space="preserve"> route), and Ollama lists whatever is actually pulled locally via </w:t>
      </w:r>
      <w:r>
        <w:rPr/>
        <w:t xml:space="preserve">GET {base_url}/api/tags</w:t>
      </w:r>
      <w:r>
        <w:rPr/>
        <w:t xml:space="preserve">. For the seven vendor-hosted live-discovery backends, this means the model dropdown always reflects the account's real, currently-available models rather than a list that can silently go stale as a vendor deprecates or introduces models.</w:t>
      </w:r>
    </w:p>
    <w:p>
      <w:pPr>
        <w:spacing w:lineRule="auto"/>
      </w:pPr>
      <w:r>
        <w:rPr/>
        <w:t xml:space="preserve">Selection is </w:t>
      </w:r>
      <w:r>
        <w:rPr>
          <w:b/>
        </w:rPr>
        <w:t xml:space="preserve">fail-fast</w:t>
      </w:r>
      <w:r>
        <w:rPr/>
        <w:t xml:space="preserve">: if the currently selected backend's </w:t>
      </w:r>
      <w:r>
        <w:rPr/>
        <w:t xml:space="preserve">is_configured</w:t>
      </w:r>
      <w:r>
        <w:rPr/>
        <w:t xml:space="preserve"> check returns </w:t>
      </w:r>
      <w:r>
        <w:rPr/>
        <w:t xml:space="preserve">False</w:t>
      </w:r>
      <w:r>
        <w:rPr/>
        <w:t xml:space="preserve"> (e.g. </w:t>
      </w:r>
      <w:r>
        <w:rPr/>
        <w:t xml:space="preserve">anthropic</w:t>
      </w:r>
      <w:r>
        <w:rPr/>
        <w:t xml:space="preserve"> selected with no API key present), the service raises a </w:t>
      </w:r>
      <w:r>
        <w:rPr/>
        <w:t xml:space="preserve">RuntimeError</w:t>
      </w:r>
      <w:r>
        <w:rPr/>
        <w:t xml:space="preserve"> immediately rather than letting the request proceed into a confusing low-level HTTP failure.</w:t>
      </w:r>
    </w:p>
    <w:p>
      <w:pPr>
        <w:pStyle w:val="Heading2"/>
        <w:spacing w:lineRule="auto"/>
      </w:pPr>
      <w:r>
        <w:rPr/>
        <w:t xml:space="preserve">2. Runtime AI Backend Switching (No Restart)</w:t>
      </w:r>
    </w:p>
    <w:p>
      <w:pPr>
        <w:spacing w:lineRule="auto"/>
      </w:pPr>
      <w:r>
        <w:rPr/>
        <w:t xml:space="preserve">Until this session, </w:t>
      </w:r>
      <w:r>
        <w:rPr/>
        <w:t xml:space="preserve">ai_backend</w:t>
      </w:r>
      <w:r>
        <w:rPr/>
        <w:t xml:space="preserve"> and every backend's credentials were read once, at process start, from </w:t>
      </w:r>
      <w:r>
        <w:rPr/>
        <w:t xml:space="preserve">.env</w:t>
      </w:r>
      <w:r>
        <w:rPr/>
        <w:t xml:space="preserve"> via </w:t>
      </w:r>
      <w:r>
        <w:rPr/>
        <w:t xml:space="preserve">get_settings()</w:t>
      </w:r>
      <w:r>
        <w:rPr/>
        <w:t xml:space="preserve"> (</w:t>
      </w:r>
      <w:r>
        <w:rPr/>
        <w:t xml:space="preserve">app/core/config.py</w:t>
      </w:r>
      <w:r>
        <w:rPr/>
        <w:t xml:space="preserve">) — a </w:t>
      </w:r>
      <w:r>
        <w:rPr/>
        <w:t xml:space="preserve">@lru_cache</w:t>
      </w:r>
      <w:r>
        <w:rPr/>
        <w:t xml:space="preserve">-wrapped singleton that lives for the lifetime of the container process. Switching from Ollama to Anthropic, or adding a Groq key, meant editing </w:t>
      </w:r>
      <w:r>
        <w:rPr/>
        <w:t xml:space="preserve">.env</w:t>
      </w:r>
      <w:r>
        <w:rPr/>
        <w:t xml:space="preserve"> and restarting the Docker containers; there was no way to change the active AI backend or its credentials while the platform was running.</w:t>
      </w:r>
    </w:p>
    <w:p>
      <w:pPr>
        <w:spacing w:lineRule="auto"/>
      </w:pPr>
      <w:r>
        <w:rPr/>
        <w:t xml:space="preserve">_get_ai_client()</w:t>
      </w:r>
      <w:r>
        <w:rPr/>
        <w:t xml:space="preserve"> in </w:t>
      </w:r>
      <w:r>
        <w:rPr/>
        <w:t xml:space="preserve">service.py</w:t>
      </w:r>
      <w:r>
        <w:rPr/>
        <w:t xml:space="preserve"> now resolves the active backend on </w:t>
      </w:r>
      <w:r>
        <w:rPr>
          <w:b/>
        </w:rPr>
        <w:t xml:space="preserve">every call</w:t>
      </w:r>
      <w:r>
        <w:rPr/>
        <w:t xml:space="preserve">, rather than once at startup, by reading a database-backed runtime-config service (</w:t>
      </w:r>
      <w:r>
        <w:rPr/>
        <w:t xml:space="preserve">backend/app/core/runtime_config.py</w:t>
      </w:r>
      <w:r>
        <w:rPr/>
        <w:t xml:space="preserve">) instead of the frozen Settings object. Resolution order is: (a) an explicit </w:t>
      </w:r>
      <w:r>
        <w:rPr/>
        <w:t xml:space="preserve">backend_override</w:t>
      </w:r>
      <w:r>
        <w:rPr/>
        <w:t xml:space="preserve">, used only by the AI-comparison feature described below; (b) the currently </w:t>
      </w:r>
      <w:r>
        <w:rPr>
          <w:b/>
        </w:rPr>
        <w:t xml:space="preserve">active</w:t>
      </w:r>
      <w:r>
        <w:rPr/>
        <w:t xml:space="preserve"> runtime-configured backend — a fresh row read from the </w:t>
      </w:r>
      <w:r>
        <w:rPr/>
        <w:t xml:space="preserve">provider_runtime_configs</w:t>
      </w:r>
      <w:r>
        <w:rPr/>
        <w:t xml:space="preserve"> table (kind </w:t>
      </w:r>
      <w:r>
        <w:rPr/>
        <w:t xml:space="preserve">"ai"</w:t>
      </w:r>
      <w:r>
        <w:rPr/>
        <w:t xml:space="preserve">, </w:t>
      </w:r>
      <w:r>
        <w:rPr/>
        <w:t xml:space="preserve">is_active = true</w:t>
      </w:r>
      <w:r>
        <w:rPr/>
        <w:t xml:space="preserve">) on that call; (c) the legacy Settings-based value, kept only as a fallback for installs where no runtime config has been seeded yet. Each of the eleven AI client classes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gained optional constructor parameters so </w:t>
      </w:r>
      <w:r>
        <w:rPr/>
        <w:t xml:space="preserve">_get_ai_client()</w:t>
      </w:r>
      <w:r>
        <w:rPr/>
        <w:t xml:space="preserve"> can build a fresh, correctly-credentialed instance from the decrypted runtime credentials on each call instead of reusing a stale cached singleton built from </w:t>
      </w:r>
      <w:r>
        <w:rPr/>
        <w:t xml:space="preserve">.env</w:t>
      </w:r>
      <w:r>
        <w:rPr/>
        <w:t xml:space="preserve"> at process start.</w:t>
      </w:r>
    </w:p>
    <w:p>
      <w:pPr>
        <w:spacing w:lineRule="auto"/>
      </w:pPr>
      <w:r>
        <w:rPr/>
        <w:t xml:space="preserve">The practical effect: </w:t>
      </w:r>
      <w:r>
        <w:rPr/>
        <w:t xml:space="preserve">POST /api/v1/runtime/ai-active</w:t>
      </w:r>
      <w:r>
        <w:rPr/>
        <w:t xml:space="preserve"> switches the active backend, and the very next AI call — the next per-provider summary or final assessment, for any in-flight or new lookup — uses the newly active backend and its credentials. No container restart, no </w:t>
      </w:r>
      <w:r>
        <w:rPr/>
        <w:t xml:space="preserve">.env</w:t>
      </w:r>
      <w:r>
        <w:rPr/>
        <w:t xml:space="preserve"> edit, no redeploy.</w:t>
      </w:r>
    </w:p>
    <w:p>
      <w:pPr>
        <w:spacing w:lineRule="auto"/>
      </w:pPr>
      <w:r>
        <w:rPr/>
        <w:t xml:space="preserve">This same on-demand resolution also underlies the AI-comparison feature: </w:t>
      </w:r>
      <w:r>
        <w:rPr/>
        <w:t xml:space="preserve">POST /api/v1/lookup/{id}/reanalyze</w:t>
      </w:r>
      <w:r>
        <w:rPr/>
        <w:t xml:space="preserve"> re-runs only the </w:t>
      </w:r>
      <w:r>
        <w:rPr/>
        <w:t xml:space="preserve">generate_final_assessment()</w:t>
      </w:r>
      <w:r>
        <w:rPr/>
        <w:t xml:space="preserve"> step against an already-completed lookup's existing evidence, passing a </w:t>
      </w:r>
      <w:r>
        <w:rPr/>
        <w:t xml:space="preserve">backend_override</w:t>
      </w:r>
      <w:r>
        <w:rPr/>
        <w:t xml:space="preserve"> for whichever backend the analyst wants to compare against — no provider is re-queried. Every assessment ever produced for a lookup — the original plus every later comparison run — is written to a new </w:t>
      </w:r>
      <w:r>
        <w:rPr/>
        <w:t xml:space="preserve">final_assessment_records</w:t>
      </w:r>
      <w:r>
        <w:rPr/>
        <w:t xml:space="preserve"> table (</w:t>
      </w:r>
      <w:r>
        <w:rPr/>
        <w:t xml:space="preserve">app/models/lookup.py</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comparisons; a reanalysis never overwrites or deletes an earlier result. </w:t>
      </w:r>
      <w:r>
        <w:rPr/>
        <w:t xml:space="preserve">GET /api/v1/lookup/{id}/assessments</w:t>
      </w:r>
      <w:r>
        <w:rPr/>
        <w:t xml:space="preserve"> returns the full set for side-by-side review.</w:t>
      </w:r>
    </w:p>
    <w:p>
      <w:pPr>
        <w:spacing w:lineRule="auto"/>
      </w:pPr>
      <w:r>
        <w:rPr/>
        <w:t xml:space="preserve">One further prompt-level change accompanies this: </w:t>
      </w:r>
      <w:r>
        <w:rPr/>
        <w:t xml:space="preserve">generate_final_assessment()</w:t>
      </w:r>
      <w:r>
        <w:rPr/>
        <w:t xml:space="preserve"> now also receives an explicit </w:t>
      </w:r>
      <w:r>
        <w:rPr/>
        <w:t xml:space="preserve">unavailable_providers</w:t>
      </w:r>
      <w:r>
        <w:rPr/>
        <w:t xml:space="preserve"> list — providers that were applicable to the IOC but failed, timed out, were rate-limited, or were not configured/disabled for this run — rendered in the prompt as a distinct "Providers unavailable this run" section, together with a system-prompt rule never to read an unavailable provider's absence as "found nothing" or "reported clean." This closes a gap that predates runtime switching but became more visible once providers could be disabled live: without it, the AI had no way to distinguish missing coverage from a genuinely clean result.</w:t>
      </w:r>
    </w:p>
    <w:p>
      <w:pPr>
        <w:pStyle w:val="Heading2"/>
        <w:spacing w:lineRule="auto"/>
      </w:pPr>
      <w:r>
        <w:rPr/>
        <w:t xml:space="preserve">3. Two Distinct AI Call Types</w:t>
      </w:r>
    </w:p>
    <w:p>
      <w:pPr>
        <w:spacing w:lineRule="auto"/>
      </w:pPr>
      <w:r>
        <w:rPr/>
        <w:t xml:space="preserve">The pipeline makes two structurally different kinds of AI calls, confirmed as genuinely separate in the code (not a naming convention over one code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summarize_provider()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generate_final_assessment()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Cardinality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call </w:t>
            </w:r>
          </w:p>
          <w:p>
            <w:pPr>
              <w:spacing w:lineRule="auto"/>
            </w:pPr>
            <w:r>
              <w:rPr>
                <w:b/>
              </w:rPr>
              <w:t xml:space="preserve">per provider</w:t>
            </w:r>
          </w:p>
          <w:p>
            <w:pPr>
              <w:spacing w:lineRule="auto"/>
            </w:pPr>
            <w:r>
              <w:rPr/>
              <w:t xml:space="preserve"> that returned OK data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One</w:t>
            </w:r>
          </w:p>
          <w:p>
            <w:pPr>
              <w:spacing w:lineRule="auto"/>
            </w:pPr>
            <w:r>
              <w:rPr/>
              <w:t xml:space="preserve"> call per lookup, after all providers finish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Only that single provider's own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per-provider </w:t>
            </w:r>
          </w:p>
          <w:p>
            <w:pPr>
              <w:spacing w:lineRule="auto"/>
            </w:pPr>
            <w:r>
              <w:rPr>
                <w:highlight w:val="lightGray"/>
              </w:rPr>
              <w:t xml:space="preserve">ProviderSummary</w:t>
            </w:r>
          </w:p>
          <w:p>
            <w:pPr>
              <w:spacing w:lineRule="auto"/>
            </w:pPr>
            <w:r>
              <w:rPr/>
              <w:t xml:space="preserve"> objects + the correlation engine's output — </w:t>
            </w:r>
          </w:p>
          <w:p>
            <w:pPr>
              <w:spacing w:lineRule="auto"/>
            </w:pPr>
            <w:r>
              <w:rPr>
                <w:b/>
              </w:rPr>
              <w:t xml:space="preserve">never</w:t>
            </w:r>
          </w:p>
          <w:p>
            <w:pPr>
              <w:spacing w:lineRule="auto"/>
            </w:pPr>
            <w:r>
              <w:rPr/>
              <w:t xml:space="preserve"> raw provider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Stored as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AISummaryRecord</w:t>
            </w:r>
          </w:p>
          <w:p>
            <w:pPr>
              <w:spacing w:lineRule="auto"/>
            </w:pPr>
            <w:r>
              <w:rPr/>
              <w:t xml:space="preserve"> with </w:t>
            </w:r>
          </w:p>
          <w:p>
            <w:pPr>
              <w:spacing w:lineRule="auto"/>
            </w:pPr>
            <w:r>
              <w:rPr>
                <w:highlight w:val="lightGray"/>
              </w:rPr>
              <w:t xml:space="preserve">provider_id</w:t>
            </w:r>
          </w:p>
          <w:p>
            <w:pPr>
              <w:spacing w:lineRule="auto"/>
            </w:pPr>
            <w:r>
              <w:rPr/>
              <w:t xml:space="preserve"> 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IOCLookup.final_assessment</w:t>
            </w:r>
          </w:p>
          <w:p>
            <w:pPr>
              <w:spacing w:lineRule="auto"/>
            </w:pPr>
            <w:r>
              <w:rPr>
                <w:b/>
              </w:rPr>
              <w:t xml:space="preserve">and</w:t>
            </w:r>
          </w:p>
          <w:p>
            <w:pPr>
              <w:spacing w:lineRule="auto"/>
            </w:pPr>
            <w:r>
              <w:rPr/>
              <w:t xml:space="preserve"> an </w:t>
            </w:r>
          </w:p>
          <w:p>
            <w:pPr>
              <w:spacing w:lineRule="auto"/>
            </w:pPr>
            <w:r>
              <w:rPr>
                <w:highlight w:val="lightGray"/>
              </w:rPr>
              <w:t xml:space="preserve">AISummaryRecord</w:t>
            </w:r>
          </w:p>
          <w:p>
            <w:pPr>
              <w:spacing w:lineRule="auto"/>
            </w:pPr>
            <w:r>
              <w:rPr/>
              <w:t xml:space="preserve"> with </w:t>
            </w:r>
          </w:p>
          <w:p>
            <w:pPr>
              <w:spacing w:lineRule="auto"/>
            </w:pPr>
            <w:r>
              <w:rPr>
                <w:highlight w:val="lightGray"/>
              </w:rPr>
              <w:t xml:space="preserve">provider_id = NULL</w:t>
            </w:r>
          </w:p>
        </w:tc>
      </w:tr>
    </w:tbl>
    <w:p>
      <w:pPr>
        <w:spacing w:lineRule="auto"/>
      </w:pPr>
      <w:r>
        <w:rPr/>
      </w:r>
    </w:p>
    <w:p>
      <w:pPr>
        <w:spacing w:lineRule="auto"/>
      </w:pPr>
      <w:r>
        <w:rPr/>
        <w:t xml:space="preserve">The </w:t>
      </w:r>
      <w:r>
        <w:rPr/>
        <w:t xml:space="preserve">AISummaryRecord.provider_id</w:t>
      </w:r>
      <w:r>
        <w:rPr/>
        <w:t xml:space="preserve"> column is the actual database-level marker distinguishing the two: a model-level comment (</w:t>
      </w:r>
      <w:r>
        <w:rPr/>
        <w:t xml:space="preserve">models/lookup.py</w:t>
      </w:r>
      <w:r>
        <w:rPr/>
        <w:t xml:space="preserve"> line 93) explicitly documents that a </w:t>
      </w:r>
      <w:r>
        <w:rPr/>
        <w:t xml:space="preserve">NULL</w:t>
      </w:r>
      <w:r>
        <w:rPr/>
        <w:t xml:space="preserve">provider_id</w:t>
      </w:r>
      <w:r>
        <w:rPr/>
        <w:t xml:space="preserve"> row is "the final consolidated assessment, not a per-provider one."</w:t>
      </w:r>
    </w:p>
    <w:p>
      <w:pPr>
        <w:spacing w:lineRule="auto"/>
      </w:pPr>
      <w:r>
        <w:rPr>
          <w:b/>
        </w:rPr>
        <w:t xml:space="preserve">Why they are kept separate</w:t>
      </w:r>
      <w:r>
        <w:rPr/>
        <w:t xml:space="preserve">, per the code's own design comments (service.py lines 8-11): the final assessment is deliberately grounded in the already-summarized per-provider outputs and the deterministic correlation result rather than being handed every provider's raw JSON again. This bounds the size of the final prompt (which would otherwise grow with the number of registered providers) and forces the "master" call to reason over an already-distilled, per-provider-attributed layer instead of re-deriving everything from scratch — which is also what makes the grounding/cross-check step in §5 possible.</w:t>
      </w:r>
    </w:p>
    <w:p>
      <w:pPr>
        <w:pStyle w:val="Heading2"/>
        <w:spacing w:lineRule="auto"/>
      </w:pPr>
      <w:r>
        <w:rPr/>
        <w:t xml:space="preserve">4. No-Evidence Short-Circuit Guard</w:t>
      </w:r>
    </w:p>
    <w:p>
      <w:pPr>
        <w:spacing w:lineRule="auto"/>
      </w:pPr>
      <w:r>
        <w:rPr/>
        <w:t xml:space="preserve">Inside </w:t>
      </w:r>
      <w:r>
        <w:rPr/>
        <w:t xml:space="preserve">generate_final_assessment()</w:t>
      </w:r>
      <w:r>
        <w:rPr/>
        <w:t xml:space="preserve"> (service.py lines 242-284), there is a hard guard: if </w:t>
      </w:r>
      <w:r>
        <w:rPr/>
        <w:t xml:space="preserve">provider_summaries</w:t>
      </w:r>
      <w:r>
        <w:rPr/>
        <w:t xml:space="preserve"> is empty </w:t>
      </w:r>
      <w:r>
        <w:rPr>
          <w:b/>
        </w:rPr>
        <w:t xml:space="preserve">and</w:t>
      </w:r>
      <w:r>
        <w:rPr/>
        <w:t xml:space="preserve">correlation.edges</w:t>
      </w:r>
      <w:r>
        <w:rPr/>
        <w:t xml:space="preserve"> is empty, the function returns a hardcoded, deterministic </w:t>
      </w:r>
      <w:r>
        <w:rPr/>
        <w:t xml:space="preserve">FinalAssessment</w:t>
      </w:r>
      <w:r>
        <w:rPr/>
        <w:t xml:space="preserve"> — </w:t>
      </w:r>
      <w:r>
        <w:rPr/>
        <w:t xml:space="preserve">final_verdict=Verdict.UNKNOWN</w:t>
      </w:r>
      <w:r>
        <w:rPr/>
        <w:t xml:space="preserve">, all risk fields set to </w:t>
      </w:r>
      <w:r>
        <w:rPr/>
        <w:t xml:space="preserve">0</w:t>
      </w:r>
      <w:r>
        <w:rPr/>
        <w:t xml:space="preserve"> — </w:t>
      </w:r>
      <w:r>
        <w:rPr>
          <w:b/>
        </w:rPr>
        <w:t xml:space="preserve">without invoking the AI backend at all</w:t>
      </w:r>
      <w:r>
        <w:rPr/>
        <w:t xml:space="preserve">.</w:t>
      </w:r>
    </w:p>
    <w:p>
      <w:pPr>
        <w:spacing w:lineRule="auto"/>
      </w:pPr>
      <w:r>
        <w:rPr/>
        <w:t xml:space="preserve">The code comment documents the concrete, reproduced failure that motivated this guard: querying the real MD5 hash of the EICAR antivirus test file (</w:t>
      </w:r>
      <w:r>
        <w:rPr/>
        <w:t xml:space="preserve">44d88612fea8a8f36de82e1278abb02f</w:t>
      </w:r>
      <w:r>
        <w:rPr/>
        <w:t xml:space="preserve">) with </w:t>
      </w:r>
      <w:r>
        <w:rPr>
          <w:b/>
        </w:rPr>
        <w:t xml:space="preserve">zero configured providers</w:t>
      </w:r>
      <w:r>
        <w:rPr/>
        <w:t xml:space="preserve"> — i.e. with no actual evidence of any kind — still caused the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purely from its pretrained knowledge. This directly violated the model's own system-prompt instruction to never fabricate findings. Rather than trying to prompt-engineer around this failure mode, the team chose to bypass the model entirely whenever there is structurally no evidence to reason over — a deterministic guard is unconditionally reliable where a prompt instruction was not.</w:t>
      </w:r>
    </w:p>
    <w:p>
      <w:pPr>
        <w:pStyle w:val="Heading2"/>
        <w:spacing w:lineRule="auto"/>
      </w:pPr>
      <w:r>
        <w:rPr/>
        <w:t xml:space="preserve">5. Grounding / Cross-Check Mechanism</w:t>
      </w:r>
    </w:p>
    <w:p>
      <w:pPr>
        <w:spacing w:lineRule="auto"/>
      </w:pPr>
      <w:r>
        <w:rPr/>
        <w:t xml:space="preserve">Even when the AI backend </w:t>
      </w:r>
      <w:r>
        <w:rPr/>
        <w:t xml:space="preserve">is</w:t>
      </w:r>
      <w:r>
        <w:rPr/>
        <w:t xml:space="preserve"> called, its structured output is not trusted at face value — it is cross-checked against the deterministic correlation data. Two related mechanisms implement this:</w:t>
      </w:r>
    </w:p>
    <w:p>
      <w:pPr>
        <w:spacing w:lineRule="auto"/>
      </w:pPr>
      <w:r>
        <w:rPr/>
        <w:t xml:space="preserve">_ground_final_assessment()</w:t>
      </w:r>
      <w:r>
        <w:rPr/>
        <w:t xml:space="preserve"> (service.py lines 137-190), run on every </w:t>
      </w:r>
      <w:r>
        <w:rPr/>
        <w:t xml:space="preserve">generate_final_assessment()</w:t>
      </w:r>
      <w:r>
        <w:rPr/>
        <w:t xml:space="preserve"> result:</w:t>
      </w:r>
    </w:p>
    <w:p>
      <w:pPr>
        <w:numPr>
          <w:ilvl w:val="0"/>
          <w:numId w:val="38"/>
        </w:numPr>
        <w:spacing w:lineRule="auto"/>
      </w:pPr>
      <w:r>
        <w:rPr/>
        <w:t xml:space="preserve">Filters the model's </w:t>
      </w:r>
      <w:r>
        <w:rPr/>
        <w:t xml:space="preserve">agreeing_providers</w:t>
      </w:r>
      <w:r>
        <w:rPr/>
        <w:t xml:space="preserve"> / </w:t>
      </w:r>
      <w:r>
        <w:rPr/>
        <w:t xml:space="preserve">disagreeing_providers</w:t>
      </w:r>
      <w:r>
        <w:rPr/>
        <w:t xml:space="preserve"> lists down to only the </w:t>
      </w:r>
      <w:r>
        <w:rPr/>
        <w:t xml:space="preserve">provider_id</w:t>
      </w:r>
      <w:r>
        <w:rPr/>
        <w:t xml:space="preserve">s that actually appear in the correlation edges, in </w:t>
      </w:r>
      <w:r>
        <w:rPr/>
        <w:t xml:space="preserve">provider_agreement</w:t>
      </w:r>
      <w:r>
        <w:rPr/>
        <w:t xml:space="preserve">, or in </w:t>
      </w:r>
      <w:r>
        <w:rPr/>
        <w:t xml:space="preserve">known_provider_ids</w:t>
      </w:r>
      <w:r>
        <w:rPr/>
        <w:t xml:space="preserve"> (the set of providers that genuinely returned a per-provider summary, passed in by the caller). Anything else the model names is </w:t>
      </w:r>
      <w:r>
        <w:rPr>
          <w:b/>
        </w:rPr>
        <w:t xml:space="preserve">silently stripped</w:t>
      </w:r>
      <w:r>
        <w:rPr/>
        <w:t xml:space="preserve">.</w:t>
      </w:r>
    </w:p>
    <w:p>
      <w:pPr>
        <w:numPr>
          <w:ilvl w:val="0"/>
          <w:numId w:val="38"/>
        </w:numPr>
        <w:spacing w:lineRule="auto"/>
      </w:pPr>
      <w:r>
        <w:rPr/>
        <w:t xml:space="preserve">Sets </w:t>
      </w:r>
      <w:r>
        <w:rPr/>
        <w:t xml:space="preserve">mapping.grounded = False</w:t>
      </w:r>
      <w:r>
        <w:rPr/>
        <w:t xml:space="preserve"> on any MITRE ATT&amp;CK technique the model cited that is not backed by a real </w:t>
      </w:r>
      <w:r>
        <w:rPr/>
        <w:t xml:space="preserve">uses_technique</w:t>
      </w:r>
      <w:r>
        <w:rPr/>
        <w:t xml:space="preserve"> correlation edge — so a technique mention that has no supporting evidence is flagged rather than presented as fact.</w:t>
      </w:r>
    </w:p>
    <w:p>
      <w:pPr>
        <w:spacing w:lineRule="auto"/>
      </w:pPr>
      <w:r>
        <w:rPr>
          <w:b/>
        </w:rPr>
        <w:t xml:space="preserve">A parallel mechanism in </w:t>
      </w:r>
      <w:r>
        <w:rPr>
          <w:b/>
        </w:rPr>
        <w:t xml:space="preserve">analysis_service.py</w:t>
      </w:r>
      <w:r>
        <w:rPr/>
        <w:t xml:space="preserve">, applied to the analyst-facing explanation endpoints (WHY malicious, Challenge/red-team, Copilot Q&amp;A, and others):</w:t>
      </w:r>
    </w:p>
    <w:p>
      <w:pPr>
        <w:numPr>
          <w:ilvl w:val="0"/>
          <w:numId w:val="39"/>
        </w:numPr>
        <w:spacing w:lineRule="auto"/>
      </w:pPr>
      <w:r>
        <w:rPr/>
        <w:t xml:space="preserve">_strip_invalid_evidence_ids()</w:t>
      </w:r>
      <w:r>
        <w:rPr/>
        <w:t xml:space="preserve"> (lines 55-71) recursively removes any </w:t>
      </w:r>
      <w:r>
        <w:rPr/>
        <w:t xml:space="preserve">evidence_ids</w:t>
      </w:r>
      <w:r>
        <w:rPr/>
        <w:t xml:space="preserve"> citation that doesn't match a real </w:t>
      </w:r>
      <w:r>
        <w:rPr/>
        <w:t xml:space="preserve">EvidenceItem.id</w:t>
      </w:r>
      <w:r>
        <w:rPr/>
        <w:t xml:space="preserve"> belonging to that specific lookup.</w:t>
      </w:r>
    </w:p>
    <w:p>
      <w:pPr>
        <w:numPr>
          <w:ilvl w:val="0"/>
          <w:numId w:val="39"/>
        </w:numPr>
        <w:spacing w:lineRule="auto"/>
      </w:pPr>
      <w:r>
        <w:rPr/>
        <w:t xml:space="preserve">_backfill_evidence_ids_from_prose()</w:t>
      </w:r>
      <w:r>
        <w:rPr/>
        <w:t xml:space="preserve"> (lines 74-112) does the reverse repair: it recovers citations the model correctly referenced in free-text prose but failed to place into the structured </w:t>
      </w:r>
      <w:r>
        <w:rPr/>
        <w:t xml:space="preserve">evidence_ids</w:t>
      </w:r>
      <w:r>
        <w:rPr/>
        <w:t xml:space="preserve"> field — but it only ever adds an ID that has already been confirmed real; it never invents one.</w:t>
      </w:r>
    </w:p>
    <w:p>
      <w:pPr>
        <w:spacing w:lineRule="auto"/>
      </w:pPr>
      <w:r>
        <w:rPr/>
        <w:t xml:space="preserve">Together, these mean every AI-authored claim that reaches storage or the UI has either been matched against a real </w:t>
      </w:r>
      <w:r>
        <w:rPr/>
        <w:t xml:space="preserve">EvidenceItem</w:t>
      </w:r>
      <w:r>
        <w:rPr/>
        <w:t xml:space="preserve">/correlation edge or explicitly marked/stripped as unsupported — the deterministic correlation and evidence layers act as a check on the generative layer, not the other way around.</w:t>
      </w:r>
    </w:p>
    <w:p>
      <w:pPr>
        <w:pStyle w:val="Heading2"/>
        <w:spacing w:lineRule="auto"/>
      </w:pPr>
      <w:r>
        <w:rPr/>
        <w:t xml:space="preserve">6. Verdict and Confidence Data Model</w:t>
      </w:r>
    </w:p>
    <w:p>
      <w:pPr>
        <w:spacing w:lineRule="auto"/>
      </w:pPr>
      <w:r>
        <w:rPr/>
        <w:t xml:space="preserve">The </w:t>
      </w:r>
      <w:r>
        <w:rPr/>
        <w:t xml:space="preserve">Verdict</w:t>
      </w:r>
      <w:r>
        <w:rPr/>
        <w:t xml:space="preserve"> enum (</w:t>
      </w:r>
      <w:r>
        <w:rPr/>
        <w:t xml:space="preserve">app/models/lookup.py</w:t>
      </w:r>
      <w:r>
        <w:rPr/>
        <w:t xml:space="preserve"> lines 22-34) has exactly </w:t>
      </w:r>
      <w:r>
        <w:rPr>
          <w:b/>
        </w:rPr>
        <w:t xml:space="preserve">12 values</w:t>
      </w:r>
      <w:r>
        <w:rPr/>
        <w:t xml:space="preserve">: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 Note that several of these are not "maliciousness" gradations at all but infrastructure classifications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 — the model is expected to distinguish "this is malicious" from "this is a category of infrastructure that merits a different interpretation."</w:t>
      </w:r>
    </w:p>
    <w:p>
      <w:pPr>
        <w:spacing w:lineRule="auto"/>
      </w:pPr>
      <w:r>
        <w:rPr/>
        <w:t xml:space="preserve">RiskAssessment</w:t>
      </w:r>
      <w:r>
        <w:rPr/>
        <w:t xml:space="preserve"> (</w:t>
      </w:r>
      <w:r>
        <w:rPr/>
        <w:t xml:space="preserve">app/ai/schemas.py</w:t>
      </w:r>
      <w:r>
        <w:rPr/>
        <w:t xml:space="preserve"> lines 101-131) carries </w:t>
      </w:r>
      <w:r>
        <w:rPr/>
        <w:t xml:space="preserve">overall_risk_score</w:t>
      </w:r>
      <w:r>
        <w:rPr/>
        <w:t xml:space="preserve">, </w:t>
      </w:r>
      <w:r>
        <w:rPr/>
        <w:t xml:space="preserve">confidence_score</w:t>
      </w:r>
      <w:r>
        <w:rPr/>
        <w:t xml:space="preserve">, and </w:t>
      </w:r>
      <w:r>
        <w:rPr/>
        <w:t xml:space="preserve">malicious_probability</w:t>
      </w:r>
      <w:r>
        <w:rPr/>
        <w:t xml:space="preserve">, all explicitly on a </w:t>
      </w:r>
      <w:r>
        <w:rPr>
          <w:b/>
        </w:rPr>
        <w:t xml:space="preserve">0-100 scale</w:t>
      </w:r>
      <w:r>
        <w:rPr/>
        <w:t xml:space="preserve"> (not 0-1). A </w:t>
      </w:r>
      <w:r>
        <w:rPr/>
        <w:t xml:space="preserve">field_validator</w:t>
      </w:r>
      <w:r>
        <w:rPr/>
        <w:t xml:space="preserve"> automatically rescales any value it receives between 0 and 1 by multiplying by 100 — a defensive fix added because </w:t>
      </w:r>
      <w:r>
        <w:rPr/>
        <w:t xml:space="preserve">llama3.2:3b</w:t>
      </w:r>
      <w:r>
        <w:rPr/>
        <w:t xml:space="preserve"> was observed defaulting to a 0-1 convention despite the 0-100 instruction.</w:t>
      </w:r>
    </w:p>
    <w:p>
      <w:pPr>
        <w:spacing w:lineRule="auto"/>
      </w:pPr>
      <w:r>
        <w:rPr/>
        <w:t xml:space="preserve">FinalAssessment</w:t>
      </w:r>
      <w:r>
        <w:rPr/>
        <w:t xml:space="preserve"> additionally carries a </w:t>
      </w:r>
      <w:r>
        <w:rPr/>
        <w:t xml:space="preserve">model_validator</w:t>
      </w:r>
      <w:r>
        <w:rPr/>
        <w:t xml:space="preserve"> named </w:t>
      </w:r>
      <w:r>
        <w:rPr/>
        <w:t xml:space="preserve">_verdict_must_agree_with_risk</w:t>
      </w:r>
      <w:r>
        <w:rPr/>
        <w:t xml:space="preserve"> (schemas.py lines 187-208) that rejects egregiously self-contradictory combinations — for example, a </w:t>
      </w:r>
      <w:r>
        <w:rPr/>
        <w:t xml:space="preserve">final_verdict="malicious"</w:t>
      </w:r>
      <w:r>
        <w:rPr/>
        <w:t xml:space="preserve"> paired with </w:t>
      </w:r>
      <w:r>
        <w:rPr/>
        <w:t xml:space="preserve">malicious_probability &lt; 30</w:t>
      </w:r>
      <w:r>
        <w:rPr/>
        <w:t xml:space="preserve"> is rejected rather than silently persisted. This is a second, independent layer of internal-consistency checking, separate from the evidence-grounding checks in §5.</w:t>
      </w:r>
    </w:p>
    <w:p>
      <w:pPr>
        <w:spacing w:lineRule="auto"/>
      </w:pPr>
      <w:r>
        <w:rPr/>
        <w:t xml:space="preserve">FinalAssessment</w:t>
      </w:r>
      <w:r>
        <w:rPr/>
        <w:t xml:space="preserve"> also carries two traceability fields, </w:t>
      </w:r>
      <w:r>
        <w:rPr/>
        <w:t xml:space="preserve">ai_backend</w:t>
      </w:r>
      <w:r>
        <w:rPr/>
        <w:t xml:space="preserve"> and </w:t>
      </w:r>
      <w:r>
        <w:rPr/>
        <w:t xml:space="preserve">ai_model</w:t>
      </w:r>
      <w:r>
        <w:rPr/>
        <w:t xml:space="preserve"> (</w:t>
      </w:r>
      <w:r>
        <w:rPr/>
        <w:t xml:space="preserve">schemas.py</w:t>
      </w:r>
      <w:r>
        <w:rPr/>
        <w:t xml:space="preserve">), populated by </w:t>
      </w:r>
      <w:r>
        <w:rPr/>
        <w:t xml:space="preserve">service.py</w:t>
      </w:r>
      <w:r>
        <w:rPr/>
        <w:t xml:space="preserve"> at generation time and surfaced in the UI as a badge on the final-assessment panel. With eleven interchangeable backends now selectable, and the config free to change between one lookup and the next, these fields exist so that an analyst or judge reviewing a conclusion always knows exactly which provider and model produced it — never a silent or ambiguous backend switch. When the no-evidence guard in §4 fires, or a generation error occurs (as happens on a rate-limited call), both fields are left </w:t>
      </w:r>
      <w:r>
        <w:rPr/>
        <w:t xml:space="preserve">null</w:t>
      </w:r>
      <w:r>
        <w:rPr/>
        <w:t xml:space="preserve"> rather than populated with a misleading value, consistent with this layer's broader rule of never presenting a fabricated or guessed fact as if it were real.</w:t>
      </w:r>
    </w:p>
    <w:p>
      <w:pPr>
        <w:pStyle w:val="Heading2"/>
        <w:spacing w:lineRule="auto"/>
      </w:pPr>
      <w:r>
        <w:rPr/>
        <w:t xml:space="preserve">7. AI Data Flow</w:t>
      </w:r>
    </w:p>
    <w:p>
      <w:pPr>
        <w:spacing w:lineRule="auto"/>
      </w:pPr>
      <w:r>
        <w:rPr/>
        <w:t xml:space="preserve">The diagram below shows data flowing </w:t>
      </w:r>
      <w:r>
        <w:rPr/>
        <w:t xml:space="preserve">into</w:t>
      </w:r>
      <w:r>
        <w:rPr/>
        <w:t xml:space="preserve"> the AI layer for a single lookup: per-provider JSON feeds per-provider summaries; those summaries plus the correlation engine's output feed the one consolidated final assessment; the final assessment is grounded/cross-checked before being persisted.</w:t>
      </w:r>
    </w:p>
    <w:p>
      <w:pPr>
        <w:spacing w:lineRule="auto"/>
      </w:pPr>
      <w:r>
        <w:rPr/>
        <w:drawing>
          <wp:inline distB="0" distL="0" distR="0" distT="0">
            <wp:extent cx="6629400" cy="9649804"/>
            <wp:effectExtent b="0" l="0" r="0" t="0"/>
            <wp:docPr id="134" name="image-SUxf0mIUIyZhcd0N7SKrW.png"/>
            <a:graphic>
              <a:graphicData uri="http://schemas.openxmlformats.org/drawingml/2006/picture">
                <pic:pic>
                  <pic:nvPicPr>
                    <pic:cNvPr id="134" name="image-SUxf0mIUIyZhcd0N7SKrW.png" descr="Figure 67"/>
                    <pic:cNvPicPr/>
                  </pic:nvPicPr>
                  <pic:blipFill>
                    <a:blip r:embed="rId139" cstate="print"/>
                    <a:srcRect b="0" l="0" r="0" t="0"/>
                    <a:stretch>
                      <a:fillRect/>
                    </a:stretch>
                  </pic:blipFill>
                  <pic:spPr>
                    <a:xfrm>
                      <a:off x="0" y="0"/>
                      <a:ext cx="6629400" cy="9649804"/>
                    </a:xfrm>
                    <a:prstGeom prst="rect"/>
                  </pic:spPr>
                </pic:pic>
              </a:graphicData>
            </a:graphic>
          </wp:inline>
        </w:drawing>
      </w:r>
    </w:p>
    <w:p>
      <w:pPr>
        <w:pStyle w:val="Heading2"/>
        <w:spacing w:lineRule="auto"/>
      </w:pPr>
      <w:r>
        <w:rPr/>
        <w:t xml:space="preserve">8. Beyond the Core Pipeline</w:t>
      </w:r>
    </w:p>
    <w:p>
      <w:pPr>
        <w:spacing w:lineRule="auto"/>
      </w:pPr>
      <w:r>
        <w:rPr/>
        <w:t xml:space="preserve">analysis_service.py</w:t>
      </w:r>
      <w:r>
        <w:rPr/>
        <w:t xml:space="preserve"> implements eight further grounded, evidence-cited AI features on top of the same call/grounding pattern: WHY malicious, What Is This, Provider Disagreement, False-Positive Assessment, Challenge/red-team, Smart Next Actions, Intelligence Gaps, and Score Explanation, plus Copilot Q&amp;A and IOC comparison. </w:t>
      </w:r>
      <w:r>
        <w:rPr/>
        <w:t xml:space="preserve">hunting_service.py</w:t>
      </w:r>
      <w:r>
        <w:rPr/>
        <w:t xml:space="preserve"> implements hunting-query and detection-rule generation. Both are restricted to citing only indicators/evidence that genuinely exist in the correlation graph or evidence ledger for that lookup — </w:t>
      </w:r>
      <w:r>
        <w:rPr/>
        <w:t xml:space="preserve">hunting_service.py</w:t>
      </w:r>
      <w:r>
        <w:rPr/>
        <w:t xml:space="preserve"> (lines 74-79) explicitly strips any invented expansion target the model produces, following the same "never trust generated output at face value" principle applied throughout this layer.</w:t>
      </w:r>
    </w:p>
    <w:p>
      <w:r>
        <w:br w:type="page"/>
      </w:r>
    </w:p>
    <w:p>
      <w:pPr>
        <w:pStyle w:val="Heading1"/>
        <w:spacing w:lineRule="auto"/>
      </w:pPr>
      <w:r>
        <w:rPr/>
        <w:t xml:space="preserve">Provider Architecture</w:t>
      </w:r>
    </w:p>
    <w:p>
      <w:pPr>
        <w:spacing w:lineRule="auto"/>
      </w:pPr>
      <w:r>
        <w:rPr/>
        <w:t xml:space="preserve">A </w:t>
      </w:r>
      <w:r>
        <w:rPr>
          <w:b/>
        </w:rPr>
        <w:t xml:space="preserve">provider</w:t>
      </w:r>
      <w:r>
        <w:rPr/>
        <w:t xml:space="preserve"> is a self-contained connector class in the platform's backend that queries one external data source — a threat-intelligence feed, a vulnerability database, a DNS blocklist, a certificate-transparency log, a sandbox scanner, or an OSINT (open-source intelligence) crawler — for information about a single IOC (indicator of compromise) submitted to a lookup. All 18 providers shipped with the platform are registered in </w:t>
      </w:r>
      <w:r>
        <w:rPr/>
        <w:t xml:space="preserve">backend/app/providers/registry.py</w:t>
      </w:r>
      <w:r>
        <w:rPr/>
        <w:t xml:space="preserve"> (</w:t>
      </w:r>
      <w:r>
        <w:rPr/>
        <w:t xml:space="preserve">_ALL_PROVIDERS</w:t>
      </w:r>
      <w:r>
        <w:rPr/>
        <w:t xml:space="preserve">) and share one common interface, described below.</w:t>
      </w:r>
    </w:p>
    <w:p>
      <w:pPr>
        <w:pStyle w:val="Heading2"/>
        <w:spacing w:lineRule="auto"/>
      </w:pPr>
      <w:r>
        <w:rPr/>
        <w:t xml:space="preserve">Common Provider Interface</w:t>
      </w:r>
    </w:p>
    <w:p>
      <w:pPr>
        <w:spacing w:lineRule="auto"/>
      </w:pPr>
      <w:r>
        <w:rPr/>
        <w:t xml:space="preserve">Every provider implements the same three-part contract, so the orchestrator (the component that fans a lookup out to providers — see below) never needs provider-specific logic:</w:t>
      </w:r>
    </w:p>
    <w:p>
      <w:pPr>
        <w:numPr>
          <w:ilvl w:val="0"/>
          <w:numId w:val="40"/>
        </w:numPr>
        <w:spacing w:lineRule="auto"/>
      </w:pPr>
      <w:r>
        <w:rPr/>
        <w:t xml:space="preserve">supports(ioc_type)</w:t>
      </w:r>
      <w:r>
        <w:rPr/>
        <w:t xml:space="preserve"> — a boolean check for whether this provider is eligible to run against the specific kind of indicator submitted. </w:t>
      </w:r>
      <w:r>
        <w:rPr/>
        <w:t xml:space="preserve">ioc_type</w:t>
      </w:r>
      <w:r>
        <w:rPr/>
        <w:t xml:space="preserve"> is one of 31 values in the platform's </w:t>
      </w:r>
      <w:r>
        <w:rPr/>
        <w:t xml:space="preserve">IOCType</w:t>
      </w:r>
      <w:r>
        <w:rPr/>
        <w:t xml:space="preserve"> enum (</w:t>
      </w:r>
      <w:r>
        <w:rPr/>
        <w:t xml:space="preserve">app/ioc/types.py</w:t>
      </w:r>
      <w:r>
        <w:rPr/>
        <w:t xml:space="preserve">), assigned to the raw input by the IOC-type detector before any provider runs. A provider is only invoked if </w:t>
      </w:r>
      <w:r>
        <w:rPr/>
        <w:t xml:space="preserve">supports()</w:t>
      </w:r>
      <w:r>
        <w:rPr/>
        <w:t xml:space="preserve"> returns true for the lookup's detected type (e.g. </w:t>
      </w:r>
      <w:r>
        <w:rPr/>
        <w:t xml:space="preserve">hybrid_analysis</w:t>
      </w:r>
      <w:r>
        <w:rPr/>
        <w:t xml:space="preserve"> only supports </w:t>
      </w:r>
      <w:r>
        <w:rPr/>
        <w:t xml:space="preserve">sha256</w:t>
      </w:r>
      <w:r>
        <w:rPr/>
        <w:t xml:space="preserve">; </w:t>
      </w:r>
      <w:r>
        <w:rPr/>
        <w:t xml:space="preserve">whois_rdap</w:t>
      </w:r>
      <w:r>
        <w:rPr/>
        <w:t xml:space="preserve"> supports </w:t>
      </w:r>
      <w:r>
        <w:rPr/>
        <w:t xml:space="preserve">domain</w:t>
      </w:r>
      <w:r>
        <w:rPr/>
        <w:t xml:space="preserve">, </w:t>
      </w:r>
      <w:r>
        <w:rPr/>
        <w:t xml:space="preserve">ipv4</w:t>
      </w:r>
      <w:r>
        <w:rPr/>
        <w:t xml:space="preserve">, </w:t>
      </w:r>
      <w:r>
        <w:rPr/>
        <w:t xml:space="preserve">ipv6</w:t>
      </w:r>
      <w:r>
        <w:rPr/>
        <w:t xml:space="preserve">, and </w:t>
      </w:r>
      <w:r>
        <w:rPr/>
        <w:t xml:space="preserve">asn</w:t>
      </w:r>
      <w:r>
        <w:rPr/>
        <w:t xml:space="preserve">).</w:t>
      </w:r>
    </w:p>
    <w:p>
      <w:pPr>
        <w:numPr>
          <w:ilvl w:val="0"/>
          <w:numId w:val="40"/>
        </w:numPr>
        <w:spacing w:lineRule="auto"/>
      </w:pPr>
      <w:r>
        <w:rPr/>
        <w:t xml:space="preserve">configured</w:t>
      </w:r>
      <w:r>
        <w:rPr/>
        <w:t xml:space="preserve"> — a boolean property reporting whether the provider currently has what it needs to run (typically a credential). Some providers are unconditionally configured because they require no credential at all — for example </w:t>
      </w:r>
      <w:r>
        <w:rPr/>
        <w:t xml:space="preserve">nvd</w:t>
      </w:r>
      <w:r>
        <w:rPr/>
        <w:t xml:space="preserve"> has </w:t>
      </w:r>
      <w:r>
        <w:rPr/>
        <w:t xml:space="preserve">requires_key = False</w:t>
      </w:r>
      <w:r>
        <w:rPr/>
        <w:t xml:space="preserve"> and </w:t>
      </w:r>
      <w:r>
        <w:rPr/>
        <w:t xml:space="preserve">configured = True</w:t>
      </w:r>
      <w:r>
        <w:rPr/>
        <w:t xml:space="preserve"> unconditionally. Others require specific fields to be present — for example </w:t>
      </w:r>
      <w:r>
        <w:rPr/>
        <w:t xml:space="preserve">censys</w:t>
      </w:r>
      <w:r>
        <w:rPr/>
        <w:t xml:space="preserve"> is only </w:t>
      </w:r>
      <w:r>
        <w:rPr/>
        <w:t xml:space="preserve">configured</w:t>
      </w:r>
      <w:r>
        <w:rPr/>
        <w:t xml:space="preserve"> when </w:t>
      </w:r>
      <w:r>
        <w:rPr>
          <w:b/>
        </w:rPr>
        <w:t xml:space="preserve">both</w:t>
      </w:r>
      <w:r>
        <w:rPr/>
        <w:t xml:space="preserve"> a Personal Access Token and an Organization ID are set; either alone leaves it not configured.</w:t>
      </w:r>
    </w:p>
    <w:p>
      <w:pPr>
        <w:numPr>
          <w:ilvl w:val="0"/>
          <w:numId w:val="40"/>
        </w:numPr>
        <w:spacing w:lineRule="auto"/>
      </w:pPr>
      <w:r>
        <w:rPr/>
        <w:t xml:space="preserve">run()</w:t>
      </w:r>
      <w:r>
        <w:rPr/>
        <w:t xml:space="preserve"> (via the shared </w:t>
      </w:r>
      <w:r>
        <w:rPr/>
        <w:t xml:space="preserve">BaseProvider.run()</w:t>
      </w:r>
      <w:r>
        <w:rPr/>
        <w:t xml:space="preserve">) — executes the actual outbound call (HTTP request, DNS query, etc.) and returns a normalized </w:t>
      </w:r>
      <w:r>
        <w:rPr/>
        <w:t xml:space="preserve">ProviderResult</w:t>
      </w:r>
      <w:r>
        <w:rPr/>
        <w:t xml:space="preserve">. This call is wrapped with a timeout and retry policy applied uniformly across all providers: </w:t>
      </w:r>
      <w:r>
        <w:rPr/>
        <w:t xml:space="preserve">provider_timeout_seconds</w:t>
      </w:r>
      <w:r>
        <w:rPr/>
        <w:t xml:space="preserve"> (default 20 seconds) and </w:t>
      </w:r>
      <w:r>
        <w:rPr/>
        <w:t xml:space="preserve">provider_max_retries</w:t>
      </w:r>
      <w:r>
        <w:rPr/>
        <w:t xml:space="preserve"> (default 2), with exponential backoff implemented via the </w:t>
      </w:r>
      <w:r>
        <w:rPr/>
        <w:t xml:space="preserve">tenacity</w:t>
      </w:r>
      <w:r>
        <w:rPr/>
        <w:t xml:space="preserve"> library (</w:t>
      </w:r>
      <w:r>
        <w:rPr/>
        <w:t xml:space="preserve">wait_exponential(multiplier=0.5, max=4)</w:t>
      </w:r>
      <w:r>
        <w:rPr/>
        <w:t xml:space="preserve">).</w:t>
      </w:r>
    </w:p>
    <w:p>
      <w:pPr>
        <w:spacing w:lineRule="auto"/>
      </w:pPr>
      <w:r>
        <w:rPr/>
        <w:t xml:space="preserve">Before </w:t>
      </w:r>
      <w:r>
        <w:rPr/>
        <w:t xml:space="preserve">run()</w:t>
      </w:r>
      <w:r>
        <w:rPr/>
        <w:t xml:space="preserve"> is invoked, each provider call first checks the Redis cache layer (described below); a cache hit skips the outbound call entirely.</w:t>
      </w:r>
    </w:p>
    <w:p>
      <w:pPr>
        <w:pStyle w:val="Heading2"/>
        <w:spacing w:lineRule="auto"/>
      </w:pPr>
      <w:r>
        <w:rPr/>
        <w:t xml:space="preserve">Concurrent Fan-Out Execution Model</w:t>
      </w:r>
    </w:p>
    <w:p>
      <w:pPr>
        <w:spacing w:lineRule="auto"/>
      </w:pPr>
      <w:r>
        <w:rPr/>
        <w:t xml:space="preserve">For a given lookup, </w:t>
      </w:r>
      <w:r>
        <w:rPr/>
        <w:t xml:space="preserve">run_all_providers()</w:t>
      </w:r>
      <w:r>
        <w:rPr/>
        <w:t xml:space="preserve"> (</w:t>
      </w:r>
      <w:r>
        <w:rPr/>
        <w:t xml:space="preserve">backend/app/providers/orchestrator.py</w:t>
      </w:r>
      <w:r>
        <w:rPr/>
        <w:t xml:space="preserve">) does </w:t>
      </w:r>
      <w:r>
        <w:rPr>
          <w:b/>
        </w:rPr>
        <w:t xml:space="preserve">not</w:t>
      </w:r>
      <w:r>
        <w:rPr/>
        <w:t xml:space="preserve"> call providers one after another. It fans out </w:t>
      </w:r>
      <w:r>
        <w:rPr>
          <w:b/>
        </w:rPr>
        <w:t xml:space="preserve">concurrently</w:t>
      </w:r>
      <w:r>
        <w:rPr/>
        <w:t xml:space="preserve"> to every registered provider whose </w:t>
      </w:r>
      <w:r>
        <w:rPr/>
        <w:t xml:space="preserve">supports(ioc_type)</w:t>
      </w:r>
      <w:r>
        <w:rPr/>
        <w:t xml:space="preserve"> is true, using </w:t>
      </w:r>
      <w:r>
        <w:rPr/>
        <w:t xml:space="preserve">asyncio.create_task</w:t>
      </w:r>
      <w:r>
        <w:rPr/>
        <w:t xml:space="preserve"> to launch all eligible provider calls at once and </w:t>
      </w:r>
      <w:r>
        <w:rPr/>
        <w:t xml:space="preserve">asyncio.as_completed</w:t>
      </w:r>
      <w:r>
        <w:rPr/>
        <w:t xml:space="preserve"> to consume each result as soon as it finishes, in whatever order calls actually complete. Each provider call independently goes through: Redis cache check → </w:t>
      </w:r>
      <w:r>
        <w:rPr/>
        <w:t xml:space="preserve">BaseProvider.run()</w:t>
      </w:r>
      <w:r>
        <w:rPr/>
        <w:t xml:space="preserve"> (timeout/retry as above) → normalized </w:t>
      </w:r>
      <w:r>
        <w:rPr/>
        <w:t xml:space="preserve">ProviderResult</w:t>
      </w:r>
      <w:r>
        <w:rPr/>
        <w:t xml:space="preserve">. As each result arrives, it is persisted to Postgres and streamed to the client immediately (rather than the pipeline waiting for every provider to finish before persisting or streaming anything).</w:t>
      </w:r>
    </w:p>
    <w:p>
      <w:pPr>
        <w:spacing w:lineRule="auto"/>
      </w:pPr>
      <w:r>
        <w:rPr/>
        <w:t xml:space="preserve">The platform's integration test suite exercises this concurrency directly against fake provider stubs (never the real network-hitting connectors), verifying parallel — not sequential — fan-out, isolation of one provider's failure from the others, cache hit/miss behavior, and correct short-circuiting of unsupported or not-configured providers.</w:t>
      </w:r>
    </w:p>
    <w:p>
      <w:pPr>
        <w:spacing w:lineRule="auto"/>
      </w:pPr>
      <w:r>
        <w:rPr/>
        <w:drawing>
          <wp:inline distB="0" distL="0" distR="0" distT="0">
            <wp:extent cx="6629400" cy="3826972"/>
            <wp:effectExtent b="0" l="0" r="0" t="0"/>
            <wp:docPr id="136" name="image-6Yq5FlNgr6uTduDPuEbRl.png"/>
            <a:graphic>
              <a:graphicData uri="http://schemas.openxmlformats.org/drawingml/2006/picture">
                <pic:pic>
                  <pic:nvPicPr>
                    <pic:cNvPr id="136" name="image-6Yq5FlNgr6uTduDPuEbRl.png" descr="Figure 68"/>
                    <pic:cNvPicPr/>
                  </pic:nvPicPr>
                  <pic:blipFill>
                    <a:blip r:embed="rId141" cstate="print"/>
                    <a:srcRect b="0" l="0" r="0" t="0"/>
                    <a:stretch>
                      <a:fillRect/>
                    </a:stretch>
                  </pic:blipFill>
                  <pic:spPr>
                    <a:xfrm>
                      <a:off x="0" y="0"/>
                      <a:ext cx="6629400" cy="3826972"/>
                    </a:xfrm>
                    <a:prstGeom prst="rect"/>
                  </pic:spPr>
                </pic:pic>
              </a:graphicData>
            </a:graphic>
          </wp:inline>
        </w:drawing>
      </w:r>
    </w:p>
    <w:p>
      <w:pPr>
        <w:spacing w:lineRule="auto"/>
      </w:pPr>
      <w:r>
        <w:rPr/>
        <w:t xml:space="preserve">"Provider A" and "Provider B" above are illustrative stand-ins for any two of the up to 18 registered providers eligible for a given IOC type — the fan-out is not limited to two.</w:t>
      </w:r>
    </w:p>
    <w:p>
      <w:pPr>
        <w:pStyle w:val="Heading2"/>
        <w:spacing w:lineRule="auto"/>
      </w:pPr>
      <w:r>
        <w:rPr/>
        <w:t xml:space="preserve">Redis Caching Layer</w:t>
      </w:r>
    </w:p>
    <w:p>
      <w:pPr>
        <w:spacing w:lineRule="auto"/>
      </w:pPr>
      <w:r>
        <w:rPr/>
        <w:t xml:space="preserve">Provider results are cached in Redis to avoid repeating identical outbound lookups. The cache key format is </w:t>
      </w:r>
      <w:r>
        <w:rPr/>
        <w:t xml:space="preserve">provider_cache:{provider_id}:{ioc_type}:{sha256(value)}</w:t>
      </w:r>
      <w:r>
        <w:rPr/>
        <w:t xml:space="preserve"> (</w:t>
      </w:r>
      <w:r>
        <w:rPr/>
        <w:t xml:space="preserve">app/core/cache.py</w:t>
      </w:r>
      <w:r>
        <w:rPr/>
        <w:t xml:space="preserve">), and the time-to-live is </w:t>
      </w:r>
      <w:r>
        <w:rPr/>
        <w:t xml:space="preserve">provider_cache_ttl_seconds</w:t>
      </w:r>
      <w:r>
        <w:rPr/>
        <w:t xml:space="preserve">, which defaults to 3600 seconds (1 hour). This provider-result cache lives on Redis logical DB index </w:t>
      </w:r>
      <w:r>
        <w:rPr/>
        <w:t xml:space="preserve">/0</w:t>
      </w:r>
      <w:r>
        <w:rPr/>
        <w:t xml:space="preserve">, kept separate from the Celery broker (</w:t>
      </w:r>
      <w:r>
        <w:rPr/>
        <w:t xml:space="preserve">/1</w:t>
      </w:r>
      <w:r>
        <w:rPr/>
        <w:t xml:space="preserve">) and Celery result backend (</w:t>
      </w:r>
      <w:r>
        <w:rPr/>
        <w:t xml:space="preserve">/2</w:t>
      </w:r>
      <w:r>
        <w:rPr/>
        <w:t xml:space="preserve">) that run on the same Redis instance.</w:t>
      </w:r>
    </w:p>
    <w:p>
      <w:pPr>
        <w:spacing w:lineRule="auto"/>
      </w:pPr>
      <w:r>
        <w:rPr/>
        <w:t xml:space="preserve">Two providers additionally maintain their own cache on top of this (visible in the Notes column of the table below): </w:t>
      </w:r>
      <w:r>
        <w:rPr/>
        <w:t xml:space="preserve">cisa_kev</w:t>
      </w:r>
      <w:r>
        <w:rPr/>
        <w:t xml:space="preserve"> keeps an in-memory cached copy of its catalog with a 1-hour TTL, and </w:t>
      </w:r>
      <w:r>
        <w:rPr/>
        <w:t xml:space="preserve">mitre_attack</w:t>
      </w:r>
      <w:r>
        <w:rPr/>
        <w:t xml:space="preserve"> caches its STIX bundle for 1 hour. These are provider-internal caches, distinct from the shared Redis provider-result cache described above.</w:t>
      </w:r>
    </w:p>
    <w:p>
      <w:pPr>
        <w:pStyle w:val="Heading2"/>
        <w:spacing w:lineRule="auto"/>
      </w:pPr>
      <w:r>
        <w:rPr/>
        <w:t xml:space="preserve">The 18 Registered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v3 free tier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 w/ 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hash types (md5/sha1/sha256/sha512)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 Transparency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key raises 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 v2.0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in-memory cached catalog, 1hr TTL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STIX bundle, cached 1hr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ipv6, 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 (domains) + RDAP (IP/ASN)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submit-then-poll scan model (</w:t>
            </w:r>
          </w:p>
          <w:p>
            <w:pPr>
              <w:spacing w:lineRule="auto"/>
            </w:pPr>
            <w:r>
              <w:rPr>
                <w:highlight w:val="lightGray"/>
              </w:rPr>
              <w:t xml:space="preserve">POST /scan/</w:t>
            </w:r>
          </w:p>
          <w:p>
            <w:pPr>
              <w:spacing w:lineRule="auto"/>
            </w:pPr>
            <w:r>
              <w:rPr/>
              <w:t xml:space="preserve">, then poll </w:t>
            </w:r>
          </w:p>
          <w:p>
            <w:pPr>
              <w:spacing w:lineRule="auto"/>
            </w:pPr>
            <w:r>
              <w:rPr>
                <w:highlight w:val="lightGray"/>
              </w:rPr>
              <w:t xml:space="preserve">GET /result/{uuid}/</w:t>
            </w:r>
          </w:p>
          <w:p>
            <w:pPr>
              <w:spacing w:lineRule="auto"/>
            </w:pPr>
            <w:r>
              <w:rPr/>
              <w:t xml:space="preserve">, which returns HTTP 404 while still processing); the poll loop is wall-clock timeboxed and reports a timeout rather than fabricating a result from an incomplete scan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 Lookup API v4 (</w:t>
            </w:r>
          </w:p>
          <w:p>
            <w:pPr>
              <w:spacing w:lineRule="auto"/>
            </w:pPr>
            <w:r>
              <w:rPr>
                <w:highlight w:val="lightGray"/>
              </w:rPr>
              <w:t xml:space="preserve">threatMatches:find</w:t>
            </w:r>
          </w:p>
          <w:p>
            <w:pPr>
              <w:spacing w:lineRule="auto"/>
            </w:pPr>
            <w:r>
              <w:rPr/>
              <w:t xml:space="preserve">); a confirmed HTTP 200 with an empty/absent </w:t>
            </w:r>
          </w:p>
          <w:p>
            <w:pPr>
              <w:spacing w:lineRule="auto"/>
            </w:pPr>
            <w:r>
              <w:rPr>
                <w:highlight w:val="lightGray"/>
              </w:rPr>
              <w:t xml:space="preserve">matches</w:t>
            </w:r>
          </w:p>
          <w:p>
            <w:pPr>
              <w:spacing w:lineRule="auto"/>
            </w:pPr>
            <w:r>
              <w:rPr/>
              <w:t xml:space="preserve"> field is the </w:t>
            </w:r>
          </w:p>
          <w:p>
            <w:pPr>
              <w:spacing w:lineRule="auto"/>
            </w:pPr>
            <w:r>
              <w:rPr/>
              <w:t xml:space="preserve">only</w:t>
            </w:r>
          </w:p>
          <w:p>
            <w:pPr>
              <w:spacing w:lineRule="auto"/>
            </w:pPr>
            <w:r>
              <w:rPr/>
              <w:t xml:space="preserve"> input that may ever produce a "clean"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overview/summary endpoint; MD5/SHA1/URL explicitly unsupported per code comment (deprecated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DNSBL lookup, no HTTP call (raw DNS)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key raises rate limit)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Personal Access Token </w:t>
            </w:r>
          </w:p>
          <w:p>
            <w:pPr>
              <w:spacing w:lineRule="auto"/>
            </w:pPr>
            <w:r>
              <w:rPr>
                <w:b/>
              </w:rPr>
              <w:t xml:space="preserve">and</w:t>
            </w:r>
          </w:p>
          <w:p>
            <w:pPr>
              <w:spacing w:lineRule="auto"/>
            </w:pPr>
            <w:r>
              <w:rPr/>
              <w:t xml:space="preserve"> Organization ID both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Platform API 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crawler wrapping GitHub/Reddit/RSS/pastebin sources (</w:t>
            </w:r>
          </w:p>
          <w:p>
            <w:pPr>
              <w:spacing w:lineRule="auto"/>
            </w:pPr>
            <w:r>
              <w:rPr>
                <w:highlight w:val="lightGray"/>
              </w:rPr>
              <w:t xml:space="preserve">app/crawler/</w:t>
            </w:r>
          </w:p>
          <w:p>
            <w:pPr>
              <w:spacing w:lineRule="auto"/>
            </w:pPr>
            <w:r>
              <w:rPr/>
              <w:t xml:space="preserve">)</w:t>
            </w:r>
          </w:p>
        </w:tc>
      </w:tr>
    </w:tbl>
    <w:p>
      <w:pPr>
        <w:spacing w:lineRule="auto"/>
      </w:pPr>
      <w:r>
        <w:rPr/>
      </w:r>
    </w:p>
    <w:p>
      <w:pPr>
        <w:spacing w:lineRule="auto"/>
      </w:pPr>
      <w:r>
        <w:rPr>
          <w:b/>
        </w:rPr>
        <w:t xml:space="preserve">A deliberately tested safety guarantee, specific to these two newest providers:</w:t>
      </w:r>
      <w:r>
        <w:rPr/>
        <w:t xml:space="preserve"> both </w:t>
      </w:r>
      <w:r>
        <w:rPr/>
        <w:t xml:space="preserve">urlscan</w:t>
      </w:r>
      <w:r>
        <w:rPr/>
        <w:t xml:space="preserve"> and </w:t>
      </w:r>
      <w:r>
        <w:rPr/>
        <w:t xml:space="preserve">google_safe_browsing</w:t>
      </w:r>
      <w:r>
        <w:rPr/>
        <w:t xml:space="preserve"> are built so that a genuine failure — a rejected/invalid API key, an unreachable API, or a rate limit — is always reported as an error or unknown status, never as a false "clean"/"safe" result. </w:t>
      </w:r>
      <w:r>
        <w:rPr/>
        <w:t xml:space="preserve">google_safe_browsing.py</w:t>
      </w:r>
      <w:r>
        <w:rPr/>
        <w:t xml:space="preserve">'s own module docstring states the invariant directly: an empty or missing </w:t>
      </w:r>
      <w:r>
        <w:rPr/>
        <w:t xml:space="preserve">matches</w:t>
      </w:r>
      <w:r>
        <w:rPr/>
        <w:t xml:space="preserve"> field on a genuine HTTP 200 response is the </w:t>
      </w:r>
      <w:r>
        <w:rPr/>
        <w:t xml:space="preserve">only</w:t>
      </w:r>
      <w:r>
        <w:rPr/>
        <w:t xml:space="preserve"> input that may ever produce a "clean" verdict; every other outcome — a non-200 status, a network error or timeout, or a response body that doesn't parse the way the API contract promises — routes through the same error-handling path, which always sets a </w:t>
      </w:r>
      <w:r>
        <w:rPr/>
        <w:t xml:space="preserve">{"verdict": "unknown", ...}</w:t>
      </w:r>
      <w:r>
        <w:rPr/>
        <w:t xml:space="preserve"> payload rather than anything that could be mistaken downstream for a real clean scan. This was confirmed with a real, live chaos test that supplied deliberately invalid credentials to both providers' real external APIs: the invalid key was rejected with </w:t>
      </w:r>
      <w:r>
        <w:rPr/>
        <w:t xml:space="preserve">status=error</w:t>
      </w:r>
      <w:r>
        <w:rPr/>
        <w:t xml:space="preserve">, Safe Browsing's own verdict field read </w:t>
      </w:r>
      <w:r>
        <w:rPr/>
        <w:t xml:space="preserve">"unknown"</w:t>
      </w:r>
      <w:r>
        <w:rPr/>
        <w:t xml:space="preserve"> (never </w:t>
      </w:r>
      <w:r>
        <w:rPr/>
        <w:t xml:space="preserve">"clean"</w:t>
      </w:r>
      <w:r>
        <w:rPr/>
        <w:t xml:space="preserve">), and the investigation's overall verdict was reported as </w:t>
      </w:r>
      <w:r>
        <w:rPr/>
        <w:t xml:space="preserve">UNKNOWN</w:t>
      </w:r>
      <w:r>
        <w:rPr/>
        <w:t xml:space="preserve"> rather than benign or clean.</w:t>
      </w:r>
    </w:p>
    <w:p>
      <w:pPr>
        <w:pStyle w:val="Heading2"/>
        <w:spacing w:lineRule="auto"/>
      </w:pPr>
      <w:r>
        <w:rPr/>
        <w:t xml:space="preserve">Wizard Coverage and the "6 Providers with No UI" Discrepancy</w:t>
      </w:r>
    </w:p>
    <w:p>
      <w:pPr>
        <w:spacing w:lineRule="auto"/>
      </w:pPr>
      <w:r>
        <w:rPr/>
        <w:t xml:space="preserve">The Windows setup </w:t>
      </w:r>
      <w:r>
        <w:rPr>
          <w:b/>
        </w:rPr>
        <w:t xml:space="preserve">wizard</w:t>
      </w:r>
      <w:r>
        <w:rPr/>
        <w:t xml:space="preserve"> (</w:t>
      </w:r>
      <w:r>
        <w:rPr/>
        <w:t xml:space="preserve">windows/wizard/Setup-Wizard.ps1</w:t>
      </w:r>
      <w:r>
        <w:rPr/>
        <w:t xml:space="preserve">, </w:t>
      </w:r>
      <w:r>
        <w:rPr/>
        <w:t xml:space="preserve">$ProviderDefs</w:t>
      </w:r>
      <w:r>
        <w:rPr/>
        <w:t xml:space="preserve">) presents a Provider Configuration screen listing exactly 8 entries: </w:t>
      </w:r>
      <w:r>
        <w:rPr/>
        <w:t xml:space="preserve">virustotal</w:t>
      </w:r>
      <w:r>
        <w:rPr/>
        <w:t xml:space="preserve">, </w:t>
      </w:r>
      <w:r>
        <w:rPr/>
        <w:t xml:space="preserve">abuseipdb</w:t>
      </w:r>
      <w:r>
        <w:rPr/>
        <w:t xml:space="preserve">, </w:t>
      </w:r>
      <w:r>
        <w:rPr/>
        <w:t xml:space="preserve">otx</w:t>
      </w:r>
      <w:r>
        <w:rPr/>
        <w:t xml:space="preserve">, </w:t>
      </w:r>
      <w:r>
        <w:rPr/>
        <w:t xml:space="preserve">abusech</w:t>
      </w:r>
      <w:r>
        <w:rPr/>
        <w:t xml:space="preserve"> (a single combined entry covering the shared abuse.ch key used by </w:t>
      </w:r>
      <w:r>
        <w:rPr/>
        <w:t xml:space="preserve">urlhaus</w:t>
      </w:r>
      <w:r>
        <w:rPr/>
        <w:t xml:space="preserve">, </w:t>
      </w:r>
      <w:r>
        <w:rPr/>
        <w:t xml:space="preserve">threatfox</w:t>
      </w:r>
      <w:r>
        <w:rPr/>
        <w:t xml:space="preserve">, and </w:t>
      </w:r>
      <w:r>
        <w:rPr/>
        <w:t xml:space="preserve">malwarebazaar</w:t>
      </w:r>
      <w:r>
        <w:rPr/>
        <w:t xml:space="preserve">), </w:t>
      </w:r>
      <w:r>
        <w:rPr/>
        <w:t xml:space="preserve">nvd</w:t>
      </w:r>
      <w:r>
        <w:rPr/>
        <w:t xml:space="preserve">, </w:t>
      </w:r>
      <w:r>
        <w:rPr/>
        <w:t xml:space="preserve">hybrid_analysis</w:t>
      </w:r>
      <w:r>
        <w:rPr/>
        <w:t xml:space="preserve">, </w:t>
      </w:r>
      <w:r>
        <w:rPr/>
        <w:t xml:space="preserve">censys</w:t>
      </w:r>
      <w:r>
        <w:rPr/>
        <w:t xml:space="preserve">, and </w:t>
      </w:r>
      <w:r>
        <w:rPr/>
        <w:t xml:space="preserve">phishtank</w:t>
      </w:r>
      <w:r>
        <w:rPr/>
        <w:t xml:space="preserve">. Counting the three abuse.ch-backed connectors individually, those 8 wizard entries map to 10 of the platform's 16 backend providers. A sample of the wizard's entries was independently checked against the corresponding provider's code and matched exactly — for example, the wizard's Censys note ("Requires both a Personal Access Token and an Organization ID") matches </w:t>
      </w:r>
      <w:r>
        <w:rPr/>
        <w:t xml:space="preserve">censys.py</w:t>
      </w:r>
      <w:r>
        <w:rPr/>
        <w:t xml:space="preserve">'s configured check precisely, and the wizard's abuse.ch note ("one free Auth-Key covers all three connectors") matches all three connectors reading the same </w:t>
      </w:r>
      <w:r>
        <w:rPr/>
        <w:t xml:space="preserve">abusech_auth_key</w:t>
      </w:r>
      <w:r>
        <w:rPr/>
        <w:t xml:space="preserve"> setting.</w:t>
      </w:r>
    </w:p>
    <w:p>
      <w:pPr>
        <w:spacing w:lineRule="auto"/>
      </w:pPr>
      <w:r>
        <w:rPr/>
        <w:t xml:space="preserve">The remaining 6 backend providers —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 — have real, working backend implementations but </w:t>
      </w:r>
      <w:r>
        <w:rPr>
          <w:b/>
        </w:rPr>
        <w:t xml:space="preserve">do not appear anywhere in the wizard's UI</w:t>
      </w:r>
      <w:r>
        <w:rPr/>
        <w:t xml:space="preserve">. This is a documented discrepancy between the wizard and the backend provider registry, but it is flagged as </w:t>
      </w:r>
      <w:r>
        <w:rPr>
          <w:b/>
        </w:rPr>
        <w:t xml:space="preserve">consistent behavior, not a bug</w:t>
      </w:r>
      <w:r>
        <w:rPr/>
        <w:t xml:space="preserve">: all six of these providers have </w:t>
      </w:r>
      <w:r>
        <w:rPr/>
        <w:t xml:space="preserve">requires_key = False</w:t>
      </w:r>
      <w:r>
        <w:rPr/>
        <w:t xml:space="preserve"> — there is no credential for a user to enter in the first place. Because the wizard's Provider Configuration screen exists specifically to collect and test credentials, a provider with nothing to configure has nothing to show there. This is corroborated on the backend side: </w:t>
      </w:r>
      <w:r>
        <w:rPr/>
        <w:t xml:space="preserve">backend/app/providers/connection_test.py</w:t>
      </w:r>
      <w:r>
        <w:rPr/>
        <w:t xml:space="preserve">'s handler dictionary (which powers the wizard's live "Test" button, </w:t>
      </w:r>
      <w:r>
        <w:rPr/>
        <w:t xml:space="preserve">POST /api/v1/providers/{id}/test</w:t>
      </w:r>
      <w:r>
        <w:rPr/>
        <w:t xml:space="preserve">) likewise defines no test handler for these six providers, falling back to a message that explicitly identifies them as requiring no credential.</w:t>
      </w:r>
    </w:p>
    <w:p>
      <w:pPr>
        <w:spacing w:lineRule="auto"/>
      </w:pPr>
      <w:r>
        <w:rPr/>
        <w:t xml:space="preserve">In short: 8 wizard entries cover 10 providers that have a credential-related field to configure — 8 of those (</w:t>
      </w:r>
      <w:r>
        <w:rPr/>
        <w:t xml:space="preserve">virustotal</w:t>
      </w:r>
      <w:r>
        <w:rPr/>
        <w:t xml:space="preserve">, </w:t>
      </w:r>
      <w:r>
        <w:rPr/>
        <w:t xml:space="preserve">abuseipdb</w:t>
      </w:r>
      <w:r>
        <w:rPr/>
        <w:t xml:space="preserve">, </w:t>
      </w:r>
      <w:r>
        <w:rPr/>
        <w:t xml:space="preserve">otx</w:t>
      </w:r>
      <w:r>
        <w:rPr/>
        <w:t xml:space="preserve">, and the three abuse.ch-backed connectors, plus </w:t>
      </w:r>
      <w:r>
        <w:rPr/>
        <w:t xml:space="preserve">hybrid_analysis</w:t>
      </w:r>
      <w:r>
        <w:rPr/>
        <w:t xml:space="preserve">, </w:t>
      </w:r>
      <w:r>
        <w:rPr/>
        <w:t xml:space="preserve">censys</w:t>
      </w:r>
      <w:r>
        <w:rPr/>
        <w:t xml:space="preserve">) require a key to function at all, while 2 (</w:t>
      </w:r>
      <w:r>
        <w:rPr/>
        <w:t xml:space="preserve">nvd</w:t>
      </w:r>
      <w:r>
        <w:rPr/>
        <w:t xml:space="preserve">, </w:t>
      </w:r>
      <w:r>
        <w:rPr/>
        <w:t xml:space="preserve">phishtank</w:t>
      </w:r>
      <w:r>
        <w:rPr/>
        <w:t xml:space="preserve">) only accept an optional key to raise their rate limit rather than strictly needing one. The other 6 providers run unconditionally with no credential of any kind and correctly have no wizard entry and no connection-test handler.</w:t>
      </w:r>
    </w:p>
    <w:p>
      <w:pPr>
        <w:pStyle w:val="Heading2"/>
        <w:spacing w:lineRule="auto"/>
      </w:pPr>
      <w:r>
        <w:rPr/>
        <w:t xml:space="preserve">Runtime IOC Provider Configuration (No Restart)</w:t>
      </w:r>
    </w:p>
    <w:p>
      <w:pPr>
        <w:spacing w:lineRule="auto"/>
      </w:pPr>
      <w:r>
        <w:rPr/>
        <w:t xml:space="preserve">Everything described above — the </w:t>
      </w:r>
      <w:r>
        <w:rPr/>
        <w:t xml:space="preserve">configured</w:t>
      </w:r>
      <w:r>
        <w:rPr/>
        <w:t xml:space="preserve"> property, the credential fields, and the enabled/disabled state of each of the platform's registered providers — was, prior to this session, entirely </w:t>
      </w:r>
      <w:r>
        <w:rPr/>
        <w:t xml:space="preserve">.env</w:t>
      </w:r>
      <w:r>
        <w:rPr/>
        <w:t xml:space="preserve">-driven and frozen for the lifetime of the running process: </w:t>
      </w:r>
      <w:r>
        <w:rPr/>
        <w:t xml:space="preserve">app/core/config.py</w:t>
      </w:r>
      <w:r>
        <w:rPr/>
        <w:t xml:space="preserve">'s </w:t>
      </w:r>
      <w:r>
        <w:rPr/>
        <w:t xml:space="preserve">get_settings()</w:t>
      </w:r>
      <w:r>
        <w:rPr/>
        <w:t xml:space="preserve"> is a process-lifetime </w:t>
      </w:r>
      <w:r>
        <w:rPr/>
        <w:t xml:space="preserve">@lru_cache</w:t>
      </w:r>
      <w:r>
        <w:rPr/>
        <w:t xml:space="preserve"> singleton, so changing a provider's key or toggling it off meant editing </w:t>
      </w:r>
      <w:r>
        <w:rPr/>
        <w:t xml:space="preserve">.env</w:t>
      </w:r>
      <w:r>
        <w:rPr/>
        <w:t xml:space="preserve"> and restarting the Docker containers before the change had any effect.</w:t>
      </w:r>
    </w:p>
    <w:p>
      <w:pPr>
        <w:spacing w:lineRule="auto"/>
      </w:pPr>
      <w:r>
        <w:rPr/>
        <w:t xml:space="preserve">That has been replaced with a database-backed runtime layer. A new </w:t>
      </w:r>
      <w:r>
        <w:rPr/>
        <w:t xml:space="preserve">provider_runtime_configs</w:t>
      </w:r>
      <w:r>
        <w:rPr/>
        <w:t xml:space="preserve"> table (</w:t>
      </w:r>
      <w:r>
        <w:rPr/>
        <w:t xml:space="preserve">backend/app/models/runtime_config.py</w:t>
      </w:r>
      <w:r>
        <w:rPr/>
        <w:t xml:space="preserve">, kind </w:t>
      </w:r>
      <w:r>
        <w:rPr/>
        <w:t xml:space="preserve">"ioc"</w:t>
      </w:r>
      <w:r>
        <w:rPr/>
        <w:t xml:space="preserve">) holds one row per provider — </w:t>
      </w:r>
      <w:r>
        <w:rPr/>
        <w:t xml:space="preserve">enabled</w:t>
      </w:r>
      <w:r>
        <w:rPr/>
        <w:t xml:space="preserve">, </w:t>
      </w:r>
      <w:r>
        <w:rPr/>
        <w:t xml:space="preserve">encrypted_credentials</w:t>
      </w:r>
      <w:r>
        <w:rPr/>
        <w:t xml:space="preserve"> (Fernet-encrypted, never plaintext), </w:t>
      </w:r>
      <w:r>
        <w:rPr/>
        <w:t xml:space="preserve">extra_config</w:t>
      </w:r>
      <w:r>
        <w:rPr/>
        <w:t xml:space="preserve">, and the timestamp/outcome of its last connection test. Two endpoints mutate this table: </w:t>
      </w:r>
      <w:r>
        <w:rPr/>
        <w:t xml:space="preserve">POST /api/v1/runtime/ioc-providers/{id}</w:t>
      </w:r>
      <w:r>
        <w:rPr/>
        <w:t xml:space="preserve"> configures a provider's credentials, and </w:t>
      </w:r>
      <w:r>
        <w:rPr/>
        <w:t xml:space="preserve">POST /api/v1/runtime/ioc-providers/{id}/enabled</w:t>
      </w:r>
      <w:r>
        <w:rPr/>
        <w:t xml:space="preserve"> flips it on or off. Neither requires touching </w:t>
      </w:r>
      <w:r>
        <w:rPr/>
        <w:t xml:space="preserve">.env</w:t>
      </w:r>
      <w:r>
        <w:rPr/>
        <w:t xml:space="preserve"> or restarting anything — the very next investigation submitted after the call picks up the change.</w:t>
      </w:r>
    </w:p>
    <w:p>
      <w:pPr>
        <w:spacing w:lineRule="auto"/>
      </w:pPr>
      <w:r>
        <w:rPr/>
        <w:t xml:space="preserve">Because each provider connector in </w:t>
      </w:r>
      <w:r>
        <w:rPr/>
        <w:t xml:space="preserve">registry.py</w:t>
      </w:r>
      <w:r>
        <w:rPr/>
        <w:t xml:space="preserve"> is instantiated once and reused as a long-lived singleton for the life of the process, mutating a shared instance attribute on that singleton immediately before use would be unsafe: two investigations running concurrently — one started right after an administrator changes a provider's credentials or enabled state, while another is still mid-flight — could race and see each other's configuration. Instead, </w:t>
      </w:r>
      <w:r>
        <w:rPr/>
        <w:t xml:space="preserve">run_all_providers()</w:t>
      </w:r>
      <w:r>
        <w:rPr/>
        <w:t xml:space="preserve"> (</w:t>
      </w:r>
      <w:r>
        <w:rPr/>
        <w:t xml:space="preserve">backend/app/providers/orchestrator.py</w:t>
      </w:r>
      <w:r>
        <w:rPr/>
        <w:t xml:space="preserve">) takes a single, immutable snapshot of runtime configuration — </w:t>
      </w:r>
      <w:r>
        <w:rPr/>
        <w:t xml:space="preserve">{provider_id: {enabled, configured, credentials}}</w:t>
      </w:r>
      <w:r>
        <w:rPr/>
        <w:t xml:space="preserve"> — once per investigation, at the start of the fan-out, and holds it in a Python </w:t>
      </w:r>
      <w:r>
        <w:rPr/>
        <w:t xml:space="preserve">ContextVar</w:t>
      </w:r>
      <w:r>
        <w:rPr/>
        <w:t xml:space="preserve"> rather than on the provider object itself. Because </w:t>
      </w:r>
      <w:r>
        <w:rPr/>
        <w:t xml:space="preserve">asyncio.create_task()</w:t>
      </w:r>
      <w:r>
        <w:rPr/>
        <w:t xml:space="preserve"> copies the current context into every task it spawns, each concurrent per-provider task launched for that investigation reads from that same frozen snapshot, regardless of what an administrator does to the underlying table while those tasks are still running. Two investigations in flight at once, each with a different configuration for the same provider, therefore never see each other's values — verified with a dedicated concurrency test simulating exactly that scenario.</w:t>
      </w:r>
    </w:p>
    <w:p>
      <w:pPr>
        <w:spacing w:lineRule="auto"/>
      </w:pPr>
      <w:r>
        <w:rPr/>
        <w:t xml:space="preserve">The provider-availability model also gained a new state to describe this. Previously a provider was either eligible (</w:t>
      </w:r>
      <w:r>
        <w:rPr/>
        <w:t xml:space="preserve">supports()</w:t>
      </w:r>
      <w:r>
        <w:rPr/>
        <w:t xml:space="preserve"> true) and </w:t>
      </w:r>
      <w:r>
        <w:rPr/>
        <w:t xml:space="preserve">configured</w:t>
      </w:r>
      <w:r>
        <w:rPr/>
        <w:t xml:space="preserve">, or not; </w:t>
      </w:r>
      <w:r>
        <w:rPr/>
        <w:t xml:space="preserve">ProviderStatus</w:t>
      </w:r>
      <w:r>
        <w:rPr/>
        <w:t xml:space="preserve"> now also has a </w:t>
      </w:r>
      <w:r>
        <w:rPr/>
        <w:t xml:space="preserve">DISABLED</w:t>
      </w:r>
      <w:r>
        <w:rPr/>
        <w:t xml:space="preserve"> value, distinct from </w:t>
      </w:r>
      <w:r>
        <w:rPr/>
        <w:t xml:space="preserve">NOT_CONFIGURED</w:t>
      </w:r>
      <w:r>
        <w:rPr/>
        <w:t xml:space="preserve"> — a provider an administrator has deliberately turned off via the enabled/disabled endpoint reports </w:t>
      </w:r>
      <w:r>
        <w:rPr/>
        <w:t xml:space="preserve">DISABLED</w:t>
      </w:r>
      <w:r>
        <w:rPr/>
        <w:t xml:space="preserve">, while a provider with no credential entered at all still reports </w:t>
      </w:r>
      <w:r>
        <w:rPr/>
        <w:t xml:space="preserve">NOT_CONFIGURED</w:t>
      </w:r>
      <w:r>
        <w:rPr/>
        <w:t xml:space="preserve">. Both are, in turn, distinguished from "not applicable to this IOC type," so the final-assessment AI prompt never conflates "unavailable" with "checked and found nothing."</w:t>
      </w:r>
    </w:p>
    <w:p>
      <w:pPr>
        <w:spacing w:lineRule="auto"/>
      </w:pPr>
      <w:r>
        <w:rPr/>
        <w:t xml:space="preserve">Finally, </w:t>
      </w:r>
      <w:r>
        <w:rPr/>
        <w:t xml:space="preserve">POST /api/v1/lookup/stream</w:t>
      </w:r>
      <w:r>
        <w:rPr/>
        <w:t xml:space="preserve"> gained an optional </w:t>
      </w:r>
      <w:r>
        <w:rPr/>
        <w:t xml:space="preserve">provider_ids</w:t>
      </w:r>
      <w:r>
        <w:rPr/>
        <w:t xml:space="preserve"> field: passing a list of provider IDs restricts that one investigation to exactly those providers, regardless of how many are otherwise enabled and configured platform-wide, without affecting any other investigation.</w:t>
      </w:r>
    </w:p>
    <w:p>
      <w:pPr>
        <w:pStyle w:val="Heading2"/>
        <w:spacing w:lineRule="auto"/>
      </w:pPr>
      <w:r>
        <w:rPr/>
        <w:t xml:space="preserve">The Same Live-Test Pattern, Extended to AI Backends</w:t>
      </w:r>
    </w:p>
    <w:p>
      <w:pPr>
        <w:spacing w:lineRule="auto"/>
      </w:pPr>
      <w:r>
        <w:rPr/>
        <w:t xml:space="preserve">The </w:t>
      </w:r>
      <w:r>
        <w:rPr/>
        <w:t xml:space="preserve">POST /api/v1/providers/{id}/test</w:t>
      </w:r>
      <w:r>
        <w:rPr/>
        <w:t xml:space="preserve"> mechanism described above — the one behind each provider's live wizard "Test" button — has a direct counterpart for the AI layer. Until this session, none of the platform's AI backends (Ollama, Anthropic, Bedrock, Gemini, or Groq — see the </w:t>
      </w:r>
      <w:r>
        <w:rPr/>
        <w:t xml:space="preserve">AI Architecture</w:t>
      </w:r>
      <w:r>
        <w:rPr/>
        <w:t xml:space="preserve"> chapter for the backends themselves) had any live connection test at all; a new </w:t>
      </w:r>
      <w:r>
        <w:rPr/>
        <w:t xml:space="preserve">POST /api/v1/ai/test</w:t>
      </w:r>
      <w:r>
        <w:rPr/>
        <w:t xml:space="preserve"> endpoint (</w:t>
      </w:r>
      <w:r>
        <w:rPr/>
        <w:t xml:space="preserve">backend/app/api/routes/ai_config.py</w:t>
      </w:r>
      <w:r>
        <w:rPr/>
        <w:t xml:space="preserve">, </w:t>
      </w:r>
      <w:r>
        <w:rPr/>
        <w:t xml:space="preserve">backend/app/ai/connection_test.py</w:t>
      </w:r>
      <w:r>
        <w:rPr/>
        <w:t xml:space="preserve">) now gives every one of them a real "Test Connection" button in the wizard's AI Configuration screen, mirroring the provider-side pattern rather than introducing a new one.</w:t>
      </w:r>
    </w:p>
    <w:p>
      <w:pPr>
        <w:spacing w:lineRule="auto"/>
      </w:pPr>
      <w:r>
        <w:rPr/>
        <w:t xml:space="preserve">The same design rule that governs the provider-side tester carries over deliberately: the endpoint always tests the </w:t>
      </w:r>
      <w:r>
        <w:rPr/>
        <w:t xml:space="preserve">candidate</w:t>
      </w:r>
      <w:r>
        <w:rPr/>
        <w:t xml:space="preserve"> credentials currently entered in the form, never the application's stored/active configuration. Because the test path never reads from or writes to the saved config, trying out a not-yet-saved key can never race with — or accidentally disturb — whatever backend and key the running platform is actually using for real investigations.</w:t>
      </w:r>
    </w:p>
    <w:p>
      <w:pPr>
        <w:spacing w:lineRule="auto"/>
      </w:pPr>
      <w:r>
        <w:rPr/>
        <w:t xml:space="preserve">It is also, deliberately, not a generic pass/fail. The endpoint sends a minimal real request to the backend under test and reports one of several specific, genuine outcomes: authenticated success (with real round-trip latency and the exact model name that replied), invalid/rejected key, rate-limited, model-not-found, network error, or timeout — the same level of specificity the provider-side test handlers already establish, applied to the AI layer for the first time.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1"/>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1"/>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42"/>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42"/>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42"/>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138" name="image-Cx499FcOcIi3Pqh4TvqUt.png"/>
            <a:graphic>
              <a:graphicData uri="http://schemas.openxmlformats.org/drawingml/2006/picture">
                <pic:pic>
                  <pic:nvPicPr>
                    <pic:cNvPr id="138" name="image-Cx499FcOcIi3Pqh4TvqUt.png" descr="Figure 69"/>
                    <pic:cNvPicPr/>
                  </pic:nvPicPr>
                  <pic:blipFill>
                    <a:blip r:embed="rId14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Windows Deployment Architecture</w:t>
      </w:r>
    </w:p>
    <w:p>
      <w:pPr>
        <w:spacing w:lineRule="auto"/>
      </w:pPr>
      <w:r>
        <w:rPr/>
        <w:t xml:space="preserve">This section documents the Windows installer for HORIZON GRID: an Inno Setup package (a Windows installer-authoring tool that compiles a self-extracting setup executable) plus a WinForms configuration wizard (.NET's native desktop UI framework — this is not an Electron or browser-based installer). Together they package the same Docker Compose-based runtime described elsewhere in this document for a single-machine Windows install; they do not reimplement the platform as a native Windows service. Docker Compose remains the actual runtime underneath the installer, per an explicit header comment in </w:t>
      </w:r>
      <w:r>
        <w:rPr/>
        <w:t xml:space="preserve">windows/installer.iss</w:t>
      </w:r>
      <w:r>
        <w:rPr/>
        <w:t xml:space="preserve">.</w:t>
      </w:r>
    </w:p>
    <w:p>
      <w:pPr>
        <w:pStyle w:val="Heading2"/>
        <w:spacing w:lineRule="auto"/>
      </w:pPr>
      <w:r>
        <w:rPr/>
        <w:t xml:space="preserve">What the Installer Actually Does</w:t>
      </w:r>
    </w:p>
    <w:p>
      <w:pPr>
        <w:spacing w:lineRule="auto"/>
      </w:pPr>
      <w:r>
        <w:rPr/>
        <w:t xml:space="preserve">installer.iss</w:t>
      </w:r>
      <w:r>
        <w:rPr/>
        <w:t xml:space="preserve"> copies the following into </w:t>
      </w:r>
      <w:r>
        <w:rPr/>
        <w:t xml:space="preserve">%ProgramFiles%\IOC Intelligence Platform\app\</w:t>
      </w:r>
      <w:r>
        <w:rPr/>
        <w:t xml:space="preserve"> (Inno Setup's </w:t>
      </w:r>
      <w:r>
        <w:rPr/>
        <w:t xml:space="preserve">{autopf}</w:t>
      </w:r>
      <w:r>
        <w:rPr/>
        <w:t xml:space="preserve"> constant):</w:t>
      </w:r>
    </w:p>
    <w:p>
      <w:pPr>
        <w:numPr>
          <w:ilvl w:val="0"/>
          <w:numId w:val="43"/>
        </w:numPr>
        <w:spacing w:lineRule="auto"/>
      </w:pPr>
      <w:r>
        <w:rPr/>
        <w:t xml:space="preserve">backend/</w:t>
      </w:r>
    </w:p>
    <w:p>
      <w:pPr>
        <w:numPr>
          <w:ilvl w:val="0"/>
          <w:numId w:val="43"/>
        </w:numPr>
        <w:spacing w:lineRule="auto"/>
      </w:pPr>
      <w:r>
        <w:rPr/>
        <w:t xml:space="preserve">frontend/</w:t>
      </w:r>
    </w:p>
    <w:p>
      <w:pPr>
        <w:numPr>
          <w:ilvl w:val="0"/>
          <w:numId w:val="43"/>
        </w:numPr>
        <w:spacing w:lineRule="auto"/>
      </w:pPr>
      <w:r>
        <w:rPr/>
        <w:t xml:space="preserve">docker-compose*.yml</w:t>
      </w:r>
      <w:r>
        <w:rPr/>
        <w:t xml:space="preserve"> (including the production overlay, </w:t>
      </w:r>
      <w:r>
        <w:rPr/>
        <w:t xml:space="preserve">docker-compose.prod.yml</w:t>
      </w:r>
      <w:r>
        <w:rPr/>
        <w:t xml:space="preserve">, which strips the development bind-mounts and switches the backend/frontend containers to production start commands)</w:t>
      </w:r>
    </w:p>
    <w:p>
      <w:pPr>
        <w:numPr>
          <w:ilvl w:val="0"/>
          <w:numId w:val="43"/>
        </w:numPr>
        <w:spacing w:lineRule="auto"/>
      </w:pPr>
      <w:r>
        <w:rPr/>
        <w:t xml:space="preserve">docs/</w:t>
      </w:r>
    </w:p>
    <w:p>
      <w:pPr>
        <w:numPr>
          <w:ilvl w:val="0"/>
          <w:numId w:val="43"/>
        </w:numPr>
        <w:spacing w:lineRule="auto"/>
      </w:pPr>
      <w:r>
        <w:rPr/>
        <w:t xml:space="preserve">README.md</w:t>
      </w:r>
    </w:p>
    <w:p>
      <w:pPr>
        <w:numPr>
          <w:ilvl w:val="0"/>
          <w:numId w:val="43"/>
        </w:numPr>
        <w:spacing w:lineRule="auto"/>
      </w:pPr>
      <w:r>
        <w:rPr/>
        <w:t xml:space="preserve">the </w:t>
      </w:r>
      <w:r>
        <w:rPr/>
        <w:t xml:space="preserve">windows/scripts</w:t>
      </w:r>
      <w:r>
        <w:rPr/>
        <w:t xml:space="preserve"> and </w:t>
      </w:r>
      <w:r>
        <w:rPr/>
        <w:t xml:space="preserve">windows/wizard</w:t>
      </w:r>
      <w:r>
        <w:rPr/>
        <w:t xml:space="preserve"> PowerShell used for post-install configuration and day-to-day operation</w:t>
      </w:r>
    </w:p>
    <w:p>
      <w:pPr>
        <w:spacing w:lineRule="auto"/>
      </w:pPr>
      <w:r>
        <w:rPr>
          <w:b/>
        </w:rPr>
        <w:t xml:space="preserve">Architecture restriction.</w:t>
      </w:r>
      <w:r>
        <w:rPr/>
        <w:t xml:space="preserve"> The installer sets </w:t>
      </w:r>
      <w:r>
        <w:rPr/>
        <w:t xml:space="preserve">ArchitecturesAllowed=x64compatible</w:t>
      </w:r>
      <w:r>
        <w:rPr/>
        <w:t xml:space="preserve">, restricting installation to 64-bit-compatible Windows systems. This is consistent with — and enforced a second time by — the prerequisite checker's own verification of a 64-bit Windows 10-or-later host (below): the same constraint is checked once at install-package level and once again at runtime. The source material does not document any further stated engineering rationale (e.g. no claim is made here about 32-bit or ARM64 support one way or the other beyond this).</w:t>
      </w:r>
    </w:p>
    <w:p>
      <w:pPr>
        <w:pStyle w:val="Heading3"/>
        <w:spacing w:lineRule="auto"/>
      </w:pPr>
      <w:r>
        <w:rPr/>
        <w:t xml:space="preserve">Prerequisite Checks</w:t>
      </w:r>
    </w:p>
    <w:p>
      <w:pPr>
        <w:spacing w:lineRule="auto"/>
      </w:pPr>
      <w:r>
        <w:rPr/>
        <w:t xml:space="preserve">Before any files are copied, a </w:t>
      </w:r>
      <w:r>
        <w:rPr/>
        <w:t xml:space="preserve">[Code]</w:t>
      </w:r>
      <w:r>
        <w:rPr/>
        <w:t xml:space="preserve">-section step in </w:t>
      </w:r>
      <w:r>
        <w:rPr/>
        <w:t xml:space="preserve">installer.iss</w:t>
      </w:r>
      <w:r>
        <w:rPr/>
        <w:t xml:space="preserve"> runs </w:t>
      </w:r>
      <w:r>
        <w:rPr/>
        <w:t xml:space="preserve">Check-Prerequisites.ps1</w:t>
      </w:r>
      <w:r>
        <w:rPr/>
        <w:t xml:space="preserve">, which verifies:</w:t>
      </w:r>
    </w:p>
    <w:p>
      <w:pPr>
        <w:numPr>
          <w:ilvl w:val="0"/>
          <w:numId w:val="44"/>
        </w:numPr>
        <w:spacing w:lineRule="auto"/>
      </w:pPr>
      <w:r>
        <w:rPr/>
        <w:t xml:space="preserve">64-bit Windows 10 or later</w:t>
      </w:r>
    </w:p>
    <w:p>
      <w:pPr>
        <w:numPr>
          <w:ilvl w:val="0"/>
          <w:numId w:val="44"/>
        </w:numPr>
        <w:spacing w:lineRule="auto"/>
      </w:pPr>
      <w:r>
        <w:rPr/>
        <w:t xml:space="preserve">Administrator privileges</w:t>
      </w:r>
    </w:p>
    <w:p>
      <w:pPr>
        <w:numPr>
          <w:ilvl w:val="0"/>
          <w:numId w:val="44"/>
        </w:numPr>
        <w:spacing w:lineRule="auto"/>
      </w:pPr>
      <w:r>
        <w:rPr/>
        <w:t xml:space="preserve">At least 8 GB RAM (soft check)</w:t>
      </w:r>
    </w:p>
    <w:p>
      <w:pPr>
        <w:numPr>
          <w:ilvl w:val="0"/>
          <w:numId w:val="44"/>
        </w:numPr>
        <w:spacing w:lineRule="auto"/>
      </w:pPr>
      <w:r>
        <w:rPr/>
        <w:t xml:space="preserve">Sufficient free disk space</w:t>
      </w:r>
    </w:p>
    <w:p>
      <w:pPr>
        <w:numPr>
          <w:ilvl w:val="0"/>
          <w:numId w:val="44"/>
        </w:numPr>
        <w:spacing w:lineRule="auto"/>
      </w:pPr>
      <w:r>
        <w:rPr/>
        <w:t xml:space="preserve">Docker Desktop installed and running</w:t>
      </w:r>
    </w:p>
    <w:p>
      <w:pPr>
        <w:numPr>
          <w:ilvl w:val="0"/>
          <w:numId w:val="44"/>
        </w:numPr>
        <w:spacing w:lineRule="auto"/>
      </w:pPr>
      <w:r>
        <w:rPr/>
        <w:t xml:space="preserve">Docker Compose v2 available</w:t>
      </w:r>
    </w:p>
    <w:p>
      <w:pPr>
        <w:numPr>
          <w:ilvl w:val="0"/>
          <w:numId w:val="44"/>
        </w:numPr>
        <w:spacing w:lineRule="auto"/>
      </w:pPr>
      <w:r>
        <w:rPr/>
        <w:t xml:space="preserve">The ports the platform needs are free</w:t>
      </w:r>
    </w:p>
    <w:p>
      <w:pPr>
        <w:spacing w:lineRule="auto"/>
      </w:pPr>
      <w:r>
        <w:rPr/>
        <w:t xml:space="preserve">Failures surface a "Continue anyway?" prompt rather than a silent abort — the check is advisory-with-friction for at least some of these conditions, not a hard, unbypassable gate.</w:t>
      </w:r>
    </w:p>
    <w:p>
      <w:pPr>
        <w:pStyle w:val="Heading2"/>
        <w:spacing w:lineRule="auto"/>
      </w:pPr>
      <w:r>
        <w:rPr/>
        <w:t xml:space="preserve">File Layout: Program Files vs. ProgramData</w:t>
      </w:r>
    </w:p>
    <w:p>
      <w:pPr>
        <w:spacing w:lineRule="auto"/>
      </w:pPr>
      <w:r>
        <w:rPr/>
        <w:t xml:space="preserve">The installer follows the standard Windows split between read-mostly program binaries and writable per-machine application data (</w:t>
      </w:r>
      <w:r>
        <w:rPr/>
        <w:t xml:space="preserve">windows/scripts/Common.ps1</w:t>
      </w:r>
      <w:r>
        <w:rPr/>
        <w:t xml:space="preserve">, lines 28-40):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%ProgramFiles%\IOC Intelligence Platform\app\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compose files, docs, wizard/operational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runtime secrets and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w:t>
            </w:r>
          </w:p>
          <w:p>
            <w:pPr>
              <w:spacing w:lineRule="auto"/>
            </w:pPr>
            <w:r>
              <w:rPr>
                <w:highlight w:val="lightGray"/>
              </w:rPr>
              <w:t xml:space="preserve">.env</w:t>
            </w:r>
          </w:p>
          <w:p>
            <w:pPr>
              <w:spacing w:lineRule="auto"/>
            </w:pPr>
            <w:r>
              <w:rPr/>
              <w:t xml:space="preserve"> consumed by Docker Compose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Install/setup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 the 10 most recent are retained</w:t>
            </w:r>
          </w:p>
        </w:tc>
      </w:tr>
    </w:tbl>
    <w:p>
      <w:pPr>
        <w:spacing w:lineRule="auto"/>
      </w:pPr>
      <w:r>
        <w:rPr/>
      </w:r>
    </w:p>
    <w:p>
      <w:pPr>
        <w:pStyle w:val="Heading3"/>
        <w:spacing w:lineRule="auto"/>
      </w:pPr>
      <w:r>
        <w:rPr/>
        <w:t xml:space="preserve">ACL Protection</w:t>
      </w:r>
    </w:p>
    <w:p>
      <w:pPr>
        <w:spacing w:lineRule="auto"/>
      </w:pPr>
      <w:r>
        <w:rPr/>
        <w:t xml:space="preserve">Initialize-DataDirectories</w:t>
      </w:r>
      <w:r>
        <w:rPr/>
        <w:t xml:space="preserve"> locks the entire </w:t>
      </w:r>
      <w:r>
        <w:rPr/>
        <w:t xml:space="preserve">ProgramData\IOC Intelligence Platform\</w:t>
      </w:r>
      <w:r>
        <w:rPr/>
        <w:t xml:space="preserve"> tree to the Administrators and SYSTEM accounts only, via </w:t>
      </w:r>
      <w:r>
        <w:rPr/>
        <w:t xml:space="preserve">icacls</w:t>
      </w:r>
      <w:r>
        <w:rPr/>
        <w:t xml:space="preserve"> (Windows's command-line ACL — access control list — management tool). This is the only NTFS permission narrowing described in the source material; no per-subfolder differentiation is mentioned beyond this single restrictive ACL applied to the whole tree.</w:t>
      </w:r>
    </w:p>
    <w:p>
      <w:pPr>
        <w:spacing w:lineRule="auto"/>
      </w:pPr>
      <w:r>
        <w:rPr/>
        <w:t xml:space="preserve">There is one additional wrinkle worth noting precisely because it affects where secrets end up on disk: </w:t>
      </w:r>
      <w:r>
        <w:rPr/>
        <w:t xml:space="preserve">docker-compose.yml</w:t>
      </w:r>
      <w:r>
        <w:rPr/>
        <w:t xml:space="preserve">'s </w:t>
      </w:r>
      <w:r>
        <w:rPr/>
        <w:t xml:space="preserve">env_file: .env</w:t>
      </w:r>
      <w:r>
        <w:rPr/>
        <w:t xml:space="preserve"> directive resolves relative to the Compose </w:t>
      </w:r>
      <w:r>
        <w:rPr/>
        <w:t xml:space="preserve">project</w:t>
      </w:r>
      <w:r>
        <w:rPr/>
        <w:t xml:space="preserve"> directory, not to whatever path a </w:t>
      </w:r>
      <w:r>
        <w:rPr/>
        <w:t xml:space="preserve">--env-file</w:t>
      </w:r>
      <w:r>
        <w:rPr/>
        <w:t xml:space="preserve"> flag might point at. Because Compose is invoked from inside </w:t>
      </w:r>
      <w:r>
        <w:rPr/>
        <w:t xml:space="preserve">{app}\app\</w:t>
      </w:r>
      <w:r>
        <w:rPr/>
        <w:t xml:space="preserve">, a helper (</w:t>
      </w:r>
      <w:r>
        <w:rPr/>
        <w:t xml:space="preserve">Sync-ComposeEnvFile</w:t>
      </w:r>
      <w:r>
        <w:rPr/>
        <w:t xml:space="preserve">) copies the real </w:t>
      </w:r>
      <w:r>
        <w:rPr/>
        <w:t xml:space="preserve">.env</w:t>
      </w:r>
      <w:r>
        <w:rPr/>
        <w:t xml:space="preserve"> from </w:t>
      </w:r>
      <w:r>
        <w:rPr/>
        <w:t xml:space="preserve">ProgramData\...\config\.env</w:t>
      </w:r>
      <w:r>
        <w:rPr/>
        <w:t xml:space="preserve"> into </w:t>
      </w:r>
      <w:r>
        <w:rPr/>
        <w:t xml:space="preserve">{app}\app\.env</w:t>
      </w:r>
      <w:r>
        <w:rPr/>
        <w:t xml:space="preserve"> on every single Compose invocation, and **re-applies the same Administrators+SYSTEM-only ACL to that copy** each time. In other words, there are effectively two on-disk </w:t>
      </w:r>
      <w:r>
        <w:rPr/>
        <w:t xml:space="preserve">.env</w:t>
      </w:r>
      <w:r>
        <w:rPr/>
        <w:t xml:space="preserve"> files with secrets in them by design (the ProgramData original and the app-directory working copy Compose actually reads), and both are kept under the restrictive ACL rather than only the first one.</w:t>
      </w:r>
    </w:p>
    <w:p>
      <w:pPr>
        <w:spacing w:lineRule="auto"/>
      </w:pPr>
      <w:r>
        <w:rPr/>
        <w:t xml:space="preserve">Secrets themselves are generated using a CSPRNG (cryptographically secure pseudo-random number generator) — specifically .NET's </w:t>
      </w:r>
      <w:r>
        <w:rPr/>
        <w:t xml:space="preserve">RandomNumberGenerator</w:t>
      </w:r>
      <w:r>
        <w:rPr/>
        <w:t xml:space="preserve"> via a </w:t>
      </w:r>
      <w:r>
        <w:rPr/>
        <w:t xml:space="preserve">New-RandomSecret</w:t>
      </w:r>
      <w:r>
        <w:rPr/>
        <w:t xml:space="preserve"> helper, not PowerShell's </w:t>
      </w:r>
      <w:r>
        <w:rPr/>
        <w:t xml:space="preserve">Get-Random</w:t>
      </w:r>
      <w:r>
        <w:rPr/>
        <w:t xml:space="preserve"> — and written out by </w:t>
      </w:r>
      <w:r>
        <w:rPr/>
        <w:t xml:space="preserve">Write-EnvFile.ps1</w:t>
      </w:r>
      <w:r>
        <w:rPr/>
        <w:t xml:space="preserve">.</w:t>
      </w:r>
    </w:p>
    <w:p>
      <w:pPr>
        <w:pStyle w:val="Heading2"/>
        <w:spacing w:lineRule="auto"/>
      </w:pPr>
      <w:r>
        <w:rPr/>
        <w:t xml:space="preserve">Setup Wizard Page Flow</w:t>
      </w:r>
    </w:p>
    <w:p>
      <w:pPr>
        <w:spacing w:lineRule="auto"/>
      </w:pPr>
      <w:r>
        <w:rPr/>
        <w:t xml:space="preserve">Setup-Wizard.ps1</w:t>
      </w:r>
      <w:r>
        <w:rPr/>
        <w:t xml:space="preserve"> is a WinForms application. On launch it self-elevates via UAC (User Account Control) if it isn't already running with a real, non-filtered elevated token. It then walks the operator through a fixed sequence of pages:</w:t>
      </w:r>
    </w:p>
    <w:p>
      <w:pPr>
        <w:spacing w:lineRule="auto"/>
      </w:pPr>
      <w:r>
        <w:rPr>
          <w:b/>
        </w:rPr>
        <w:t xml:space="preserve">Welcome → Admin Account → AI Configuration → Provider Configuration → Port Review → Summary/Install → Finish</w:t>
      </w:r>
    </w:p>
    <w:p>
      <w:pPr>
        <w:spacing w:lineRule="auto"/>
      </w:pPr>
      <w:r>
        <w:rPr/>
        <w:drawing>
          <wp:inline distB="0" distL="0" distR="0" distT="0">
            <wp:extent cx="5724525" cy="24260175"/>
            <wp:effectExtent b="0" l="0" r="0" t="0"/>
            <wp:docPr id="140" name="image-fiIzrZulpADPdNMqeqx6D.png"/>
            <a:graphic>
              <a:graphicData uri="http://schemas.openxmlformats.org/drawingml/2006/picture">
                <pic:pic>
                  <pic:nvPicPr>
                    <pic:cNvPr id="140" name="image-fiIzrZulpADPdNMqeqx6D.png" descr="Figure 70"/>
                    <pic:cNvPicPr/>
                  </pic:nvPicPr>
                  <pic:blipFill>
                    <a:blip r:embed="rId145" cstate="print"/>
                    <a:srcRect b="0" l="0" r="0" t="0"/>
                    <a:stretch>
                      <a:fillRect/>
                    </a:stretch>
                  </pic:blipFill>
                  <pic:spPr>
                    <a:xfrm>
                      <a:off x="0" y="0"/>
                      <a:ext cx="5724525" cy="24260175"/>
                    </a:xfrm>
                    <a:prstGeom prst="rect"/>
                  </pic:spPr>
                </pic:pic>
              </a:graphicData>
            </a:graphic>
          </wp:inline>
        </w:drawing>
      </w:r>
    </w:p>
    <w:p>
      <w:pPr>
        <w:spacing w:lineRule="auto"/>
      </w:pPr>
      <w:r>
        <w:rPr/>
        <w:t xml:space="preserve">Notes on individual pages:</w:t>
      </w:r>
    </w:p>
    <w:p>
      <w:pPr>
        <w:numPr>
          <w:ilvl w:val="0"/>
          <w:numId w:val="45"/>
        </w:numPr>
        <w:spacing w:lineRule="auto"/>
      </w:pPr>
      <w:r>
        <w:rPr>
          <w:b/>
        </w:rPr>
        <w:t xml:space="preserve">Admin Account</w:t>
      </w:r>
      <w:r>
        <w:rPr/>
        <w:t xml:space="preserve"> — collects the credentials for the operator account the installer will register once the stack is up. Per the platform's own registration logic, the </w:t>
      </w:r>
      <w:r>
        <w:rPr/>
        <w:t xml:space="preserve">first</w:t>
      </w:r>
      <w:r>
        <w:rPr/>
        <w:t xml:space="preserve"> account ever registered against a fresh database is automatically granted the admin role, with no manual database edit required; every registration attempt after that is rejected with </w:t>
      </w:r>
      <w:r>
        <w:rPr/>
        <w:t xml:space="preserve">403 Forbidden</w:t>
      </w:r>
      <w:r>
        <w:rPr/>
        <w:t xml:space="preserve"> rather than silently creating a lesser account. That bootstrap behavior is what makes it safe for this page to simply be "create the admin account" with no separate role picker.</w:t>
      </w:r>
    </w:p>
    <w:p>
      <w:pPr>
        <w:numPr>
          <w:ilvl w:val="0"/>
          <w:numId w:val="45"/>
        </w:numPr>
        <w:spacing w:lineRule="auto"/>
      </w:pPr>
      <w:r>
        <w:rPr>
          <w:b/>
        </w:rPr>
        <w:t xml:space="preserve">Provider Configuration</w:t>
      </w:r>
      <w:r>
        <w:rPr/>
        <w:t xml:space="preserve"> — presents exactly 8 of the platform's 18 registered intelligence providers, each with a live "Test" button that calls </w:t>
      </w:r>
      <w:r>
        <w:rPr/>
        <w:t xml:space="preserve">POST /api/v1/providers/{id}/test</w:t>
      </w:r>
      <w:r>
        <w:rPr/>
        <w:t xml:space="preserve"> against the running backend: VirusTotal, AbuseIPDB, OTX, the combined abuse.ch group (URLhaus/ThreatFox/MalwareBazaar — one free Auth-Key covers all three), NVD, Hybrid Analysis, Censys, and PhishTank. The wizard's own inline notes match the backend's behavior exactly for the cases checked: Censys requires both a Personal Access Token and an Organization ID, the abuse.ch key is shared across three connectors, and NVD works without a key at a lower rate limit. The remaining 10 backend providers are deliberately absent from this page for two different reasons: 6 (Certificate Transparency lookups, CISA KEV, MITRE ATT&amp;CK, WHOIS/RDAP, Spamhaus, and the internal OSINT crawler) require no credential to collect at all, so there is nothing for this page to configure and no corresponding test handler exists for them either; the other 2 (urlscan.io, Google Safe Browsing) </w:t>
      </w:r>
      <w:r>
        <w:rPr>
          <w:b/>
        </w:rPr>
        <w:t xml:space="preserve">do</w:t>
      </w:r>
      <w:r>
        <w:rPr/>
        <w:t xml:space="preserve"> require a credential but are still absent from the wizard on both platforms identically — both are configured after install from the app's own Providers page instead.</w:t>
      </w:r>
    </w:p>
    <w:p>
      <w:pPr>
        <w:numPr>
          <w:ilvl w:val="0"/>
          <w:numId w:val="45"/>
        </w:numPr>
        <w:spacing w:lineRule="auto"/>
      </w:pPr>
      <w:r>
        <w:rPr>
          <w:b/>
        </w:rPr>
        <w:t xml:space="preserve">Port Review</w:t>
      </w:r>
      <w:r>
        <w:rPr/>
        <w:t xml:space="preserve"> — lets the operator confirm/adjust the host ports the stack will bind, following on from the prerequisite check's "ports free" verification.</w:t>
      </w:r>
    </w:p>
    <w:p>
      <w:pPr>
        <w:pStyle w:val="Heading2"/>
        <w:spacing w:lineRule="auto"/>
      </w:pPr>
      <w:r>
        <w:rPr/>
        <w:t xml:space="preserve">What "Start Installation" Actually Executes</w:t>
      </w:r>
    </w:p>
    <w:p>
      <w:pPr>
        <w:spacing w:lineRule="auto"/>
      </w:pPr>
      <w:r>
        <w:rPr/>
        <w:t xml:space="preserve">Clicking "Start Installation" on the Summary/Install page runs, in order:</w:t>
      </w:r>
    </w:p>
    <w:p>
      <w:pPr>
        <w:numPr>
          <w:ilvl w:val="0"/>
          <w:numId w:val="46"/>
        </w:numPr>
        <w:spacing w:lineRule="auto"/>
      </w:pPr>
      <w:r>
        <w:rPr/>
        <w:t xml:space="preserve">Writes </w:t>
      </w:r>
      <w:r>
        <w:rPr/>
        <w:t xml:space="preserve">.env</w:t>
      </w:r>
      <w:r>
        <w:rPr/>
        <w:t xml:space="preserve"> via </w:t>
      </w:r>
      <w:r>
        <w:rPr/>
        <w:t xml:space="preserve">Write-EnvFile.ps1</w:t>
      </w:r>
      <w:r>
        <w:rPr/>
        <w:t xml:space="preserve">, using the values collected across the previous pages plus CSPRNG-generated secrets.</w:t>
      </w:r>
    </w:p>
    <w:p>
      <w:pPr>
        <w:numPr>
          <w:ilvl w:val="0"/>
          <w:numId w:val="46"/>
        </w:numPr>
        <w:spacing w:lineRule="auto"/>
      </w:pPr>
      <w:r>
        <w:rPr/>
        <w:t xml:space="preserve">Runs </w:t>
      </w:r>
      <w:r>
        <w:rPr/>
        <w:t xml:space="preserve">docker compose -f docker-compose.yml -f docker-compose.prod.yml up -d --build</w:t>
      </w:r>
      <w:r>
        <w:rPr/>
        <w:t xml:space="preserve"> — the production overlay swaps in production start commands and drops the development bind-mounts.</w:t>
      </w:r>
    </w:p>
    <w:p>
      <w:pPr>
        <w:numPr>
          <w:ilvl w:val="0"/>
          <w:numId w:val="46"/>
        </w:numPr>
        <w:spacing w:lineRule="auto"/>
      </w:pPr>
      <w:r>
        <w:rPr/>
        <w:t xml:space="preserve">Polls the backend's </w:t>
      </w:r>
      <w:r>
        <w:rPr/>
        <w:t xml:space="preserve">/health</w:t>
      </w:r>
      <w:r>
        <w:rPr/>
        <w:t xml:space="preserve"> endpoint for up to 3 minutes, waiting for the stack to come up.</w:t>
      </w:r>
    </w:p>
    <w:p>
      <w:pPr>
        <w:numPr>
          <w:ilvl w:val="0"/>
          <w:numId w:val="46"/>
        </w:numPr>
        <w:spacing w:lineRule="auto"/>
      </w:pPr>
      <w:r>
        <w:rPr/>
        <w:t xml:space="preserve">Registers the admin account by calling </w:t>
      </w:r>
      <w:r>
        <w:rPr/>
        <w:t xml:space="preserve">POST /api/v1/auth/register</w:t>
      </w:r>
      <w:r>
        <w:rPr/>
        <w:t xml:space="preserve"> with the credentials from the Admin Account page, then logs in.</w:t>
      </w:r>
    </w:p>
    <w:p>
      <w:pPr>
        <w:spacing w:lineRule="auto"/>
      </w:pPr>
      <w:r>
        <w:rPr/>
        <w:t xml:space="preserve">Nothing here is a distinct "installer-native" install step beyond orchestrating the same Docker Compose commands and HTTP calls an operator could run by hand — the wizard's value is sequencing and validating them, not replacing them.</w:t>
      </w:r>
    </w:p>
    <w:p>
      <w:pPr>
        <w:pStyle w:val="Heading2"/>
        <w:spacing w:lineRule="auto"/>
      </w:pPr>
      <w:r>
        <w:rPr/>
        <w:t xml:space="preserve">Start Menu Shortcuts</w:t>
      </w:r>
    </w:p>
    <w:p>
      <w:pPr>
        <w:spacing w:lineRule="auto"/>
      </w:pPr>
      <w:r>
        <w:rPr/>
        <w:t xml:space="preserve">The installer's </w:t>
      </w:r>
      <w:r>
        <w:rPr/>
        <w:t xml:space="preserve">[Icons]</w:t>
      </w:r>
      <w:r>
        <w:rPr/>
        <w:t xml:space="preserve"> section creates the following (plus an optional desktop icon):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(also the default desktop icon action): checks stack health first, starts Docker Desktop if it isn't already running, starts the stack, then opens the browser to the platform.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the Setup Wizard. On an existing install this sets an upgrade flag (</w:t>
            </w:r>
          </w:p>
          <w:p>
            <w:pPr>
              <w:spacing w:lineRule="auto"/>
            </w:pPr>
            <w:r>
              <w:rPr>
                <w:highlight w:val="lightGray"/>
              </w:rPr>
              <w:t xml:space="preserve">$State.IsUpgrade</w:t>
            </w:r>
          </w:p>
          <w:p>
            <w:pPr>
              <w:spacing w:lineRule="auto"/>
            </w:pPr>
            <w:r>
              <w:rPr/>
              <w:t xml:space="preserve">) that changes the wizard's behavior — see Upgrade/Reconfigure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(no </w:t>
            </w:r>
          </w:p>
          <w:p>
            <w:pPr>
              <w:spacing w:lineRule="auto"/>
            </w:pPr>
            <w:r>
              <w:rPr>
                <w:highlight w:val="lightGray"/>
              </w:rPr>
              <w:t xml:space="preserve">-v</w:t>
            </w:r>
          </w:p>
          <w:p>
            <w:pPr>
              <w:spacing w:lineRule="auto"/>
            </w:pPr>
            <w:r>
              <w:rPr/>
              <w:t xml:space="preserve"> flag, so container data/volumes are preserved, not deleted).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the facts available do not detail its script-level implementation beyond the name (presumably a stop-then-start sequence, not confirmed).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specific implementation not detailed in the source material beyond the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Manually triggers an on-demand database backup using the same </w:t>
            </w:r>
          </w:p>
          <w:p>
            <w:pPr>
              <w:spacing w:lineRule="auto"/>
            </w:pPr>
            <w:r>
              <w:rPr>
                <w:highlight w:val="lightGray"/>
              </w:rPr>
              <w:t xml:space="preserve">pg_dump</w:t>
            </w:r>
          </w:p>
          <w:p>
            <w:pPr>
              <w:spacing w:lineRule="auto"/>
            </w:pPr>
            <w:r>
              <w:rPr/>
              <w:t xml:space="preserve">-against-the-running-postgres-container mechanism (</w:t>
            </w:r>
          </w:p>
          <w:p>
            <w:pPr>
              <w:spacing w:lineRule="auto"/>
            </w:pPr>
            <w:r>
              <w:rPr>
                <w:highlight w:val="lightGray"/>
              </w:rPr>
              <w:t xml:space="preserve">Backup-Database.ps1</w:t>
            </w:r>
          </w:p>
          <w:p>
            <w:pPr>
              <w:spacing w:lineRule="auto"/>
            </w:pPr>
            <w:r>
              <w:rPr/>
              <w:t xml:space="preserve">) that runs automatically before an upgrade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specific implementation not detailed in the source material beyond the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installed documentation (</w:t>
            </w:r>
          </w:p>
          <w:p>
            <w:pPr>
              <w:spacing w:lineRule="auto"/>
            </w:pPr>
            <w:r>
              <w:rPr>
                <w:highlight w:val="lightGray"/>
              </w:rPr>
              <w:t xml:space="preserve">docs/</w:t>
            </w:r>
          </w:p>
          <w:p>
            <w:pPr>
              <w:spacing w:lineRule="auto"/>
            </w:pPr>
            <w:r>
              <w:rPr/>
              <w:t xml:space="preserve">, </w:t>
            </w:r>
          </w:p>
          <w:p>
            <w:pPr>
              <w:spacing w:lineRule="auto"/>
            </w:pPr>
            <w:r>
              <w:rPr>
                <w:highlight w:val="lightGray"/>
              </w:rPr>
              <w:t xml:space="preserve">README.md</w:t>
            </w:r>
          </w:p>
          <w:p>
            <w:pPr>
              <w:spacing w:lineRule="auto"/>
            </w:pPr>
            <w:r>
              <w:rPr/>
              <w:t xml:space="preserve">)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Invoked via </w:t>
            </w:r>
          </w:p>
          <w:p>
            <w:pPr>
              <w:spacing w:lineRule="auto"/>
            </w:pPr>
            <w:r>
              <w:rPr>
                <w:highlight w:val="lightGray"/>
              </w:rPr>
              <w:t xml:space="preserve">[Code]</w:t>
            </w:r>
          </w:p>
          <w:p>
            <w:pPr>
              <w:spacing w:lineRule="auto"/>
            </w:pPr>
            <w:r>
              <w:rPr/>
              <w:t xml:space="preserve"> in </w:t>
            </w:r>
          </w:p>
          <w:p>
            <w:pPr>
              <w:spacing w:lineRule="auto"/>
            </w:pPr>
            <w:r>
              <w:rPr>
                <w:highlight w:val="lightGray"/>
              </w:rPr>
              <w:t xml:space="preserve">installer.iss</w:t>
            </w:r>
          </w:p>
          <w:p>
            <w:pPr>
              <w:spacing w:lineRule="auto"/>
            </w:pPr>
            <w:r>
              <w:rPr/>
              <w:t xml:space="preserve">; offers "Remove Application" (keeps </w:t>
            </w:r>
          </w:p>
          <w:p>
            <w:pPr>
              <w:spacing w:lineRule="auto"/>
            </w:pPr>
            <w:r>
              <w:rPr>
                <w:highlight w:val="lightGray"/>
              </w:rPr>
              <w:t xml:space="preserve">ProgramData</w:t>
            </w:r>
          </w:p>
          <w:p>
            <w:pPr>
              <w:spacing w:lineRule="auto"/>
            </w:pPr>
            <w:r>
              <w:rPr/>
              <w:t xml:space="preserve"> and Docker volumes intact) versus "Remove Everything" (requires typing </w:t>
            </w:r>
          </w:p>
          <w:p>
            <w:pPr>
              <w:spacing w:lineRule="auto"/>
            </w:pPr>
            <w:r>
              <w:rPr>
                <w:highlight w:val="lightGray"/>
              </w:rPr>
              <w:t xml:space="preserve">DELETE</w:t>
            </w:r>
          </w:p>
          <w:p>
            <w:pPr>
              <w:spacing w:lineRule="auto"/>
            </w:pPr>
            <w:r>
              <w:rPr/>
              <w:t xml:space="preserve"> to confirm; runs </w:t>
            </w:r>
          </w:p>
          <w:p>
            <w:pPr>
              <w:spacing w:lineRule="auto"/>
            </w:pPr>
            <w:r>
              <w:rPr>
                <w:highlight w:val="lightGray"/>
              </w:rPr>
              <w:t xml:space="preserve">docker compose down -v</w:t>
            </w:r>
          </w:p>
          <w:p>
            <w:pPr>
              <w:spacing w:lineRule="auto"/>
            </w:pPr>
            <w:r>
              <w:rPr/>
              <w:t xml:space="preserve"> and deletes </w:t>
            </w:r>
          </w:p>
          <w:p>
            <w:pPr>
              <w:spacing w:lineRule="auto"/>
            </w:pPr>
            <w:r>
              <w:rPr>
                <w:highlight w:val="lightGray"/>
              </w:rPr>
              <w:t xml:space="preserve">ProgramData</w:t>
            </w:r>
          </w:p>
          <w:p>
            <w:pPr>
              <w:spacing w:lineRule="auto"/>
            </w:pPr>
            <w:r>
              <w:rPr/>
              <w:t xml:space="preserve">).</w:t>
            </w:r>
          </w:p>
        </w:tc>
      </w:tr>
    </w:tbl>
    <w:p>
      <w:pPr>
        <w:spacing w:lineRule="auto"/>
      </w:pPr>
      <w:r>
        <w:rPr/>
      </w:r>
    </w:p>
    <w:p>
      <w:pPr>
        <w:pStyle w:val="Heading2"/>
        <w:spacing w:lineRule="auto"/>
      </w:pPr>
      <w:r>
        <w:rPr/>
        <w:t xml:space="preserve">Upgrade / Reconfigure Flow</w:t>
      </w:r>
    </w:p>
    <w:p>
      <w:pPr>
        <w:spacing w:lineRule="auto"/>
      </w:pPr>
      <w:r>
        <w:rPr/>
        <w:t xml:space="preserve">Re-running the Setup Wizard from the </w:t>
      </w:r>
      <w:r>
        <w:rPr>
          <w:b/>
        </w:rPr>
        <w:t xml:space="preserve">Configuration</w:t>
      </w:r>
      <w:r>
        <w:rPr/>
        <w:t xml:space="preserve"> shortcut on a machine that already has the platform installed sets </w:t>
      </w:r>
      <w:r>
        <w:rPr/>
        <w:t xml:space="preserve">$State.IsUpgrade = true</w:t>
      </w:r>
      <w:r>
        <w:rPr/>
        <w:t xml:space="preserve"> internally, which changes two things before the operator sees any page:</w:t>
      </w:r>
    </w:p>
    <w:p>
      <w:pPr>
        <w:numPr>
          <w:ilvl w:val="0"/>
          <w:numId w:val="47"/>
        </w:numPr>
        <w:spacing w:lineRule="auto"/>
      </w:pPr>
      <w:r>
        <w:rPr>
          <w:b/>
        </w:rPr>
        <w:t xml:space="preserve">Pre-population</w:t>
      </w:r>
      <w:r>
        <w:rPr/>
        <w:t xml:space="preserve">: the wizard parses the existing </w:t>
      </w:r>
      <w:r>
        <w:rPr/>
        <w:t xml:space="preserve">.env</w:t>
      </w:r>
      <w:r>
        <w:rPr/>
        <w:t xml:space="preserve"> (from </w:t>
      </w:r>
      <w:r>
        <w:rPr/>
        <w:t xml:space="preserve">ProgramData\...\config\.env</w:t>
      </w:r>
      <w:r>
        <w:rPr/>
        <w:t xml:space="preserve">) and uses it to pre-fill the wizard's fields, so re-running Configuration is a "review and adjust" flow rather than starting from a blank slate.</w:t>
      </w:r>
    </w:p>
    <w:p>
      <w:pPr>
        <w:numPr>
          <w:ilvl w:val="0"/>
          <w:numId w:val="47"/>
        </w:numPr>
        <w:spacing w:lineRule="auto"/>
      </w:pPr>
      <w:r>
        <w:rPr>
          <w:b/>
        </w:rPr>
        <w:t xml:space="preserve">Pre-install backup</w:t>
      </w:r>
      <w:r>
        <w:rPr/>
        <w:t xml:space="preserve">: before anything else changes, the wizard backs up the database by running </w:t>
      </w:r>
      <w:r>
        <w:rPr/>
        <w:t xml:space="preserve">Backup-Database.ps1</w:t>
      </w:r>
      <w:r>
        <w:rPr/>
        <w:t xml:space="preserve">, which executes </w:t>
      </w:r>
      <w:r>
        <w:rPr/>
        <w:t xml:space="preserve">pg_dump</w:t>
      </w:r>
      <w:r>
        <w:rPr/>
        <w:t xml:space="preserve"> inside the already-running Postgres container. This backup lands in </w:t>
      </w:r>
      <w:r>
        <w:rPr/>
        <w:t xml:space="preserve">ProgramData\...\backups\</w:t>
      </w:r>
      <w:r>
        <w:rPr/>
        <w:t xml:space="preserve">, alongside the same rolling most-recent-10-retained snapshots used elsewhere.</w:t>
      </w:r>
    </w:p>
    <w:p>
      <w:pPr>
        <w:spacing w:lineRule="auto"/>
      </w:pPr>
      <w:r>
        <w:rPr/>
        <w:t xml:space="preserve">From there the wizard proceeds through the same page flow (Welcome → Admin Account → … → Summary/Install → Finish) and "Start Installation" re-runs the same </w:t>
      </w:r>
      <w:r>
        <w:rPr/>
        <w:t xml:space="preserve">docker compose ... up -d --build</w:t>
      </w:r>
      <w:r>
        <w:rPr/>
        <w:t xml:space="preserve"> / health-poll sequence described above. The source material does not specify whether the final admin-account registration call is skipped or altered on an upgrade path versus a fresh install — this detail is </w:t>
      </w:r>
      <w:r>
        <w:rPr>
          <w:b/>
        </w:rPr>
        <w:t xml:space="preserve">not confirmed</w:t>
      </w:r>
      <w:r>
        <w:rPr/>
        <w:t xml:space="preserve"> and should not be assumed either way without checking the wizard script directly.</w:t>
      </w:r>
    </w:p>
    <w:p>
      <w:pPr>
        <w:pStyle w:val="Heading2"/>
        <w:spacing w:lineRule="auto"/>
      </w:pPr>
      <w:r>
        <w:rPr/>
        <w:t xml:space="preserve">Summary</w:t>
      </w:r>
    </w:p>
    <w:p>
      <w:pPr>
        <w:spacing w:lineRule="auto"/>
      </w:pPr>
      <w:r>
        <w:rPr/>
        <w:t xml:space="preserve">The Windows installer's job is narrowly scoped: verify the host can run the stack, lay down application files under Program Files, collect configuration through a WinForms wizard, generate and lock down secrets under a restrictive ACL in ProgramData, and drive the same </w:t>
      </w:r>
      <w:r>
        <w:rPr/>
        <w:t xml:space="preserve">docker compose</w:t>
      </w:r>
      <w:r>
        <w:rPr/>
        <w:t xml:space="preserve"> commands and REST calls an operator could otherwise run manually. It intentionally leaves Docker Compose as the real runtime rather than replacing it with a native Windows service, and it protects the resulting secrets primarily through NTFS ACLs (Administrators + SYSTEM only) on the </w:t>
      </w:r>
      <w:r>
        <w:rPr/>
        <w:t xml:space="preserve">.env</w:t>
      </w:r>
      <w:r>
        <w:rPr/>
        <w:t xml:space="preserve"> file(s) and CSPRNG-based secret generation, rather than through any OS-level secret store.</w:t>
      </w:r>
    </w:p>
    <w:p>
      <w:r>
        <w:br w:type="page"/>
      </w:r>
    </w:p>
    <w:p>
      <w:pPr>
        <w:pStyle w:val="Heading1"/>
        <w:spacing w:lineRule="auto"/>
      </w:pPr>
      <w:r>
        <w:rPr/>
        <w:t xml:space="preserve">Security Architecture</w:t>
      </w:r>
    </w:p>
    <w:p>
      <w:pPr>
        <w:spacing w:lineRule="auto"/>
      </w:pPr>
      <w:r>
        <w:rPr/>
        <w:t xml:space="preserve">This appendix section documents the authentication, authorization, secrets-handling, network-exposure, rate-limiting, and CORS behavior of the HORIZON GRID backend (the FastAPI service that receives IOC — Indicator of Compromise — lookup requests from the web client). All claims below are traceable to source-code inspection of the platform's backend and Windows installer; anything not directly confirmed in code is marked "Not confirmed" rather than estimated.</w:t>
      </w:r>
    </w:p>
    <w:p>
      <w:pPr>
        <w:pStyle w:val="Heading2"/>
        <w:spacing w:lineRule="auto"/>
      </w:pPr>
      <w:r>
        <w:rPr/>
        <w:t xml:space="preserve">Authentication</w:t>
      </w:r>
    </w:p>
    <w:p>
      <w:pPr>
        <w:spacing w:lineRule="auto"/>
      </w:pPr>
      <w:r>
        <w:rPr/>
        <w:t xml:space="preserve">The backend issues JSON Web Tokens (JWT) using </w:t>
      </w:r>
      <w:r>
        <w:rPr/>
        <w:t xml:space="preserve">python-jose</w:t>
      </w:r>
      <w:r>
        <w:rPr/>
        <w:t xml:space="preserve"> with the HS256 signing algorithm (</w:t>
      </w:r>
      <w:r>
        <w:rPr/>
        <w:t xml:space="preserve">backend/app/auth/security.py</w:t>
      </w:r>
      <w:r>
        <w:rPr/>
        <w:t xml:space="preserve">). Two token types are issued on login: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Lifetime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r>
    </w:tbl>
    <w:p>
      <w:pPr>
        <w:spacing w:lineRule="auto"/>
      </w:pPr>
      <w:r>
        <w:rPr/>
      </w:r>
    </w:p>
    <w:p>
      <w:pPr>
        <w:spacing w:lineRule="auto"/>
      </w:pPr>
      <w:r>
        <w:rPr/>
        <w:t xml:space="preserve">Password storage uses </w:t>
      </w:r>
      <w:r>
        <w:rPr/>
        <w:t xml:space="preserve">passlib</w:t>
      </w:r>
      <w:r>
        <w:rPr/>
        <w:t xml:space="preserve"> with </w:t>
      </w:r>
      <w:r>
        <w:rPr/>
        <w:t xml:space="preserve">bcrypt</w:t>
      </w:r>
      <w:r>
        <w:rPr/>
        <w:t xml:space="preserve"> hashing — plaintext passwords are never persisted; only the bcrypt hash is stored on the </w:t>
      </w:r>
      <w:r>
        <w:rPr/>
        <w:t xml:space="preserve">users</w:t>
      </w:r>
      <w:r>
        <w:rPr/>
        <w:t xml:space="preserve"> table.</w:t>
      </w:r>
    </w:p>
    <w:p>
      <w:pPr>
        <w:pStyle w:val="Heading3"/>
        <w:spacing w:lineRule="auto"/>
      </w:pPr>
      <w:r>
        <w:rPr/>
        <w:t xml:space="preserve">First-user-becomes-admin bootstrap</w:t>
      </w:r>
    </w:p>
    <w:p>
      <w:pPr>
        <w:spacing w:lineRule="auto"/>
      </w:pPr>
      <w:r>
        <w:rPr/>
        <w:t xml:space="preserve">POST /auth/register</w:t>
      </w:r>
      <w:r>
        <w:rPr/>
        <w:t xml:space="preserve"> contains a specific bootstrap rule: </w:t>
      </w:r>
      <w:r>
        <w:rPr>
          <w:b/>
        </w:rPr>
        <w:t xml:space="preserve">the first user ever registered on a given instance is automatically granted the </w:t>
      </w:r>
      <w:r>
        <w:rPr>
          <w:b/>
        </w:rPr>
        <w:t xml:space="preserve">admin</w:t>
      </w:r>
      <w:r>
        <w:rPr>
          <w:b/>
        </w:rPr>
        <w:t xml:space="preserve"> role; every registration attempt after that is rejected with </w:t>
      </w:r>
      <w:r>
        <w:rPr>
          <w:b/>
        </w:rPr>
        <w:t xml:space="preserve">403 Forbidden</w:t>
      </w:r>
      <w:r>
        <w:rPr/>
        <w:t xml:space="preserve"> ("Self-registration is closed. Ask an administrator to create your account from the Administration page.") rather than being granted a lesser role. No manual database edit is required to stand up an initial administrator account — this is also how the Windows Setup Wizard provisions the admin account at the end of installation (it calls this same registration endpoint). Every account after that first admin must be created by an existing admin, via </w:t>
      </w:r>
      <w:r>
        <w:rPr/>
        <w:t xml:space="preserve">POST /api/v1/admin/users</w:t>
      </w:r>
      <w:r>
        <w:rPr/>
        <w:t xml:space="preserve"> or the </w:t>
      </w:r>
      <w:r>
        <w:rPr/>
        <w:t xml:space="preserve">/admin</w:t>
      </w:r>
      <w:r>
        <w:rPr/>
        <w:t xml:space="preserve"> frontend page, which lets the admin choose the new account's role up front. </w:t>
      </w:r>
      <w:r>
        <w:rPr/>
        <w:t xml:space="preserve">docs/SECURITY.md</w:t>
      </w:r>
      <w:r>
        <w:rPr/>
        <w:t xml:space="preserve"> describes this identical mechanism.</w:t>
      </w:r>
    </w:p>
    <w:p>
      <w:pPr>
        <w:pStyle w:val="Heading2"/>
        <w:spacing w:lineRule="auto"/>
      </w:pPr>
      <w:r>
        <w:rPr/>
        <w:t xml:space="preserve">Role-Based Access Control (RBAC)</w:t>
      </w:r>
    </w:p>
    <w:p>
      <w:pPr>
        <w:spacing w:lineRule="auto"/>
      </w:pPr>
      <w:r>
        <w:rPr/>
        <w:t xml:space="preserve">The platform has exactly </w:t>
      </w:r>
      <w:r>
        <w:rPr>
          <w:b/>
        </w:rPr>
        <w:t xml:space="preserve">three roles</w:t>
      </w:r>
      <w:r>
        <w:rPr/>
        <w:t xml:space="preserve">: </w:t>
      </w:r>
      <w:r>
        <w:rPr/>
        <w:t xml:space="preserve">admin</w:t>
      </w:r>
      <w:r>
        <w:rPr/>
        <w:t xml:space="preserve">, </w:t>
      </w:r>
      <w:r>
        <w:rPr/>
        <w:t xml:space="preserve">analyst</w:t>
      </w:r>
      <w:r>
        <w:rPr/>
        <w:t xml:space="preserve">, and </w:t>
      </w:r>
      <w:r>
        <w:rPr/>
        <w:t xml:space="preserve">viewer</w:t>
      </w:r>
      <w:r>
        <w:rPr/>
        <w:t xml:space="preserve">. Permissions are modeled as a permission-string matrix (</w:t>
      </w:r>
      <w:r>
        <w:rPr/>
        <w:t xml:space="preserve">ROLE_PERMISSIONS</w:t>
      </w:r>
      <w:r>
        <w:rPr/>
        <w:t xml:space="preserve"> in </w:t>
      </w:r>
      <w:r>
        <w:rPr/>
        <w:t xml:space="preserve">app/models/user.py</w:t>
      </w:r>
      <w:r>
        <w:rPr/>
        <w:t xml:space="preserve">) and enforced per-route by a </w:t>
      </w:r>
      <w:r>
        <w:rPr/>
        <w:t xml:space="preserve">require_permission()</w:t>
      </w:r>
      <w:r>
        <w:rPr/>
        <w:t xml:space="preserve"> dependency (</w:t>
      </w:r>
      <w:r>
        <w:rPr/>
        <w:t xml:space="preserve">app/auth/rbac.py</w:t>
      </w:r>
      <w:r>
        <w:rPr/>
        <w:t xml:space="preserve">) — a route either declares a required permission string or it doesn't; there is no implicit fallback check.</w:t>
      </w:r>
    </w:p>
    <w:p>
      <w:pPr>
        <w:spacing w:lineRule="auto"/>
      </w:pPr>
      <w:r>
        <w:rPr>
          <w:b/>
        </w:rPr>
        <w:t xml:space="preserve">Documentation correction made during this review:</w:t>
      </w:r>
      <w:r>
        <w:rPr/>
        <w:t xml:space="preserve">docs/SECURITY.md</w:t>
      </w:r>
      <w:r>
        <w:rPr/>
        <w:t xml:space="preserve"> states that no route enforces the </w:t>
      </w:r>
      <w:r>
        <w:rPr/>
        <w:t xml:space="preserve">provider:manage</w:t>
      </w:r>
      <w:r>
        <w:rPr/>
        <w:t xml:space="preserve"> permission. That claim is stale. The provider-credential test endpoint, </w:t>
      </w:r>
      <w:r>
        <w:rPr/>
        <w:t xml:space="preserve">POST /api/v1/providers/{provider_id}/test</w:t>
      </w:r>
      <w:r>
        <w:rPr/>
        <w:t xml:space="preserve"> (</w:t>
      </w:r>
      <w:r>
        <w:rPr/>
        <w:t xml:space="preserve">backend/app/api/routes/providers.py</w:t>
      </w:r>
      <w:r>
        <w:rPr/>
        <w:t xml:space="preserve">, line 24), does call </w:t>
      </w:r>
      <w:r>
        <w:rPr/>
        <w:t xml:space="preserve">require_permission("provider:manage")</w:t>
      </w:r>
      <w:r>
        <w:rPr/>
        <w:t xml:space="preserve"> — confirmed directly in the route code. This endpoint is what the Setup Wizard's per-provider "Test" button invokes, so the permission gate is exercised as part of the normal install flow, not a dead code path.</w:t>
      </w:r>
    </w:p>
    <w:p>
      <w:pPr>
        <w:spacing w:lineRule="auto"/>
      </w:pPr>
      <w:r>
        <w:rPr/>
        <w:t xml:space="preserve">Two other admin-tier permissions defined in the same matrix were checked. One remains unenforced; the other, </w:t>
      </w:r>
      <w:r>
        <w:rPr/>
        <w:t xml:space="preserve">audit:read</w:t>
      </w:r>
      <w:r>
        <w:rPr/>
        <w:t xml:space="preserve">, is now enforced as of the runtime provider/AI configuration feature described under Secrets Management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 gates </w:t>
            </w:r>
          </w:p>
          <w:p>
            <w:pPr>
              <w:spacing w:lineRule="auto"/>
            </w:pPr>
            <w:r>
              <w:rPr>
                <w:highlight w:val="lightGray"/>
              </w:rPr>
              <w:t xml:space="preserve">POST /api/v1/providers/{provider_id}/test</w:t>
            </w:r>
          </w:p>
          <w:p>
            <w:pPr>
              <w:spacing w:lineRule="auto"/>
            </w:pPr>
            <w:r>
              <w:rPr/>
              <w:t xml:space="preserve"> and the new </w:t>
            </w:r>
          </w:p>
          <w:p>
            <w:pPr>
              <w:spacing w:lineRule="auto"/>
            </w:pPr>
            <w:r>
              <w:rPr>
                <w:highlight w:val="lightGray"/>
              </w:rPr>
              <w:t xml:space="preserve">/api/v1/runtime/*</w:t>
            </w:r>
          </w:p>
          <w:p>
            <w:pPr>
              <w:spacing w:lineRule="auto"/>
            </w:pPr>
            <w:r>
              <w:rPr/>
              <w:t xml:space="preserve"> provider- and AI-configuration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in the RBAC matrix; no route currently calls </w:t>
            </w:r>
          </w:p>
          <w:p>
            <w:pPr>
              <w:spacing w:lineRule="auto"/>
            </w:pPr>
            <w:r>
              <w:rPr>
                <w:highlight w:val="lightGray"/>
              </w:rPr>
              <w:t xml:space="preserve">require_permission("user:manage")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 gates </w:t>
            </w:r>
          </w:p>
          <w:p>
            <w:pPr>
              <w:spacing w:lineRule="auto"/>
            </w:pPr>
            <w:r>
              <w:rPr>
                <w:highlight w:val="lightGray"/>
              </w:rPr>
              <w:t xml:space="preserve">GET /api/v1/runtime/audit-log</w:t>
            </w:r>
          </w:p>
        </w:tc>
      </w:tr>
    </w:tbl>
    <w:p>
      <w:pPr>
        <w:spacing w:lineRule="auto"/>
      </w:pPr>
      <w:r>
        <w:rPr/>
      </w:r>
    </w:p>
    <w:p>
      <w:pPr>
        <w:spacing w:lineRule="auto"/>
      </w:pPr>
      <w:r>
        <w:rPr/>
        <w:drawing>
          <wp:inline distB="0" distL="0" distR="0" distT="0">
            <wp:extent cx="6629400" cy="5587403"/>
            <wp:effectExtent b="0" l="0" r="0" t="0"/>
            <wp:docPr id="142" name="image-aa3qxaR7eN6OlZsvmwmDu.png"/>
            <a:graphic>
              <a:graphicData uri="http://schemas.openxmlformats.org/drawingml/2006/picture">
                <pic:pic>
                  <pic:nvPicPr>
                    <pic:cNvPr id="142" name="image-aa3qxaR7eN6OlZsvmwmDu.png" descr="Figure 71"/>
                    <pic:cNvPicPr/>
                  </pic:nvPicPr>
                  <pic:blipFill>
                    <a:blip r:embed="rId147" cstate="print"/>
                    <a:srcRect b="0" l="0" r="0" t="0"/>
                    <a:stretch>
                      <a:fillRect/>
                    </a:stretch>
                  </pic:blipFill>
                  <pic:spPr>
                    <a:xfrm>
                      <a:off x="0" y="0"/>
                      <a:ext cx="6629400" cy="5587403"/>
                    </a:xfrm>
                    <a:prstGeom prst="rect"/>
                  </pic:spPr>
                </pic:pic>
              </a:graphicData>
            </a:graphic>
          </wp:inline>
        </w:drawing>
      </w:r>
    </w:p>
    <w:p>
      <w:pPr>
        <w:pStyle w:val="Heading2"/>
        <w:spacing w:lineRule="auto"/>
      </w:pPr>
      <w:r>
        <w:rPr/>
        <w:t xml:space="preserve">Secrets Management</w:t>
      </w:r>
    </w:p>
    <w:p>
      <w:pPr>
        <w:spacing w:lineRule="auto"/>
      </w:pPr>
      <w:r>
        <w:rPr/>
        <w:t xml:space="preserve">Runtime configuration, including secrets, is loaded from a </w:t>
      </w:r>
      <w:r>
        <w:rPr/>
        <w:t xml:space="preserve">.env</w:t>
      </w:r>
      <w:r>
        <w:rPr/>
        <w:t xml:space="preserve"> file via </w:t>
      </w:r>
      <w:r>
        <w:rPr/>
        <w:t xml:space="preserve">pydantic-settings</w:t>
      </w:r>
      <w:r>
        <w:rPr/>
        <w:t xml:space="preserve">. </w:t>
      </w:r>
      <w:r>
        <w:rPr/>
        <w:t xml:space="preserve">.env</w:t>
      </w:r>
      <w:r>
        <w:rPr/>
        <w:t xml:space="preserve"> itself is git-ignored; only a </w:t>
      </w:r>
      <w:r>
        <w:rPr/>
        <w:t xml:space="preserve">.env.example</w:t>
      </w:r>
      <w:r>
        <w:rPr/>
        <w:t xml:space="preserve"> template is tracked in source control.</w:t>
      </w:r>
    </w:p>
    <w:p>
      <w:pPr>
        <w:spacing w:lineRule="auto"/>
      </w:pPr>
      <w:r>
        <w:rPr/>
        <w:t xml:space="preserve">One default value is a genuine risk if left unchanged: </w:t>
      </w:r>
      <w:r>
        <w:rPr/>
        <w:t xml:space="preserve">jwt_secret_key</w:t>
      </w:r>
      <w:r>
        <w:rPr/>
        <w:t xml:space="preserve"> falls back to the literal string </w:t>
      </w:r>
      <w:r>
        <w:rPr/>
        <w:t xml:space="preserve">"change-me-in-production"</w:t>
      </w:r>
      <w:r>
        <w:rPr/>
        <w:t xml:space="preserve"> when no value is set (</w:t>
      </w:r>
      <w:r>
        <w:rPr/>
        <w:t xml:space="preserve">backend/app/core/config.py</w:t>
      </w:r>
      <w:r>
        <w:rPr/>
        <w:t xml:space="preserve">, line 23). Any deployment that ships with this default unedited would have a publicly-known JWT signing secret.</w:t>
      </w:r>
    </w:p>
    <w:p>
      <w:pPr>
        <w:spacing w:lineRule="auto"/>
      </w:pPr>
      <w:r>
        <w:rPr/>
        <w:t xml:space="preserve">On Windows installs, the Setup Wizard avoids this by generating secrets itself rather than relying on the code default: it uses a cryptographically secure random number generator (</w:t>
      </w:r>
      <w:r>
        <w:rPr/>
        <w:t xml:space="preserve">New-RandomSecret</w:t>
      </w:r>
      <w:r>
        <w:rPr/>
        <w:t xml:space="preserve">, backed by .NET's </w:t>
      </w:r>
      <w:r>
        <w:rPr/>
        <w:t xml:space="preserve">RandomNumberGenerator</w:t>
      </w:r>
      <w:r>
        <w:rPr/>
        <w:t xml:space="preserve"> — explicitly </w:t>
      </w:r>
      <w:r>
        <w:rPr/>
        <w:t xml:space="preserve">not</w:t>
      </w:r>
      <w:r>
        <w:rPr/>
        <w:t xml:space="preserve"> PowerShell's </w:t>
      </w:r>
      <w:r>
        <w:rPr/>
        <w:t xml:space="preserve">Get-Random</w:t>
      </w:r>
      <w:r>
        <w:rPr/>
        <w:t xml:space="preserve">, which is not cryptographically secure) and writes the result via </w:t>
      </w:r>
      <w:r>
        <w:rPr/>
        <w:t xml:space="preserve">Write-EnvFile.ps1</w:t>
      </w:r>
      <w:r>
        <w:rPr/>
        <w:t xml:space="preserve">. The resulting </w:t>
      </w:r>
      <w:r>
        <w:rPr/>
        <w:t xml:space="preserve">.env</w:t>
      </w:r>
      <w:r>
        <w:rPr/>
        <w:t xml:space="preserve"> file's filesystem permissions are then locked down to the Administrators and SYSTEM accounts only, via </w:t>
      </w:r>
      <w:r>
        <w:rPr/>
        <w:t xml:space="preserve">icacls</w:t>
      </w:r>
      <w:r>
        <w:rPr/>
        <w:t xml:space="preserve">.</w:t>
      </w:r>
    </w:p>
    <w:p>
      <w:pPr>
        <w:pStyle w:val="Heading3"/>
        <w:spacing w:lineRule="auto"/>
      </w:pPr>
      <w:r>
        <w:rPr/>
        <w:t xml:space="preserve">Setup Wizard credential-testing reliability fix</w:t>
      </w:r>
    </w:p>
    <w:p>
      <w:pPr>
        <w:spacing w:lineRule="auto"/>
      </w:pPr>
      <w:r>
        <w:rPr/>
        <w:t xml:space="preserve">A review of the Setup Wizard's per-credential "Test Connection" buttons — used to validate both third-party provider API keys and AI-backend credentials (Ollama, Anthropic, Bedrock, Gemini, Groq) before installation is finalized — found two distinct root causes for unreliable behavior in this flow, both corrected during this review.</w:t>
      </w:r>
    </w:p>
    <w:p>
      <w:pPr>
        <w:spacing w:lineRule="auto"/>
      </w:pPr>
      <w:r>
        <w:rPr>
          <w:b/>
        </w:rPr>
        <w:t xml:space="preserve">Session-acquisition bug.</w:t>
      </w:r>
      <w:r>
        <w:rPr/>
        <w:t xml:space="preserve"> Every Test Connection button's request depends on an authenticated session token (</w:t>
      </w:r>
      <w:r>
        <w:rPr/>
        <w:t xml:space="preserve">$State.AccessToken</w:t>
      </w:r>
      <w:r>
        <w:rPr/>
        <w:t xml:space="preserve">). That token was previously set in exactly one place in the wizard: deep inside the "Start Installation" button's click handler on the final Summary page. As a result, no credential could be tested until installation had already been fully completed. On a reconfigure run in particular — where an administrator deliberately leaves the Admin Account page blank in order to keep an existing account unchanged — no login request was issued at all, so every Test Connection click failed with a "create the admin account first" message even though a working admin account and platform were already running. The fix is a new function, </w:t>
      </w:r>
      <w:r>
        <w:rPr/>
        <w:t xml:space="preserve">Get-OrCreateWizardSession</w:t>
      </w:r>
      <w:r>
        <w:rPr/>
        <w:t xml:space="preserve"> (</w:t>
      </w:r>
      <w:r>
        <w:rPr/>
        <w:t xml:space="preserve">windows/wizard/Setup-Wizard.ps1</w:t>
      </w:r>
      <w:r>
        <w:rPr/>
        <w:t xml:space="preserve">), invoked on demand directly from each Test Connection click handler. It performs a login only, using whatever email and password are currently typed into the Admin Account page fields, and never registers or modifies an account.</w:t>
      </w:r>
    </w:p>
    <w:p>
      <w:pPr>
        <w:spacing w:lineRule="auto"/>
      </w:pPr>
      <w:r>
        <w:rPr>
          <w:b/>
        </w:rPr>
        <w:t xml:space="preserve">.env</w:t>
      </w:r>
      <w:r>
        <w:rPr>
          <w:b/>
        </w:rPr>
        <w:t xml:space="preserve"> serialization hardening.</w:t>
      </w:r>
      <w:r>
        <w:rPr/>
        <w:t xml:space="preserve"> A second, independent bug existed in the writer responsible for persisting configuration values to disk, </w:t>
      </w:r>
      <w:r>
        <w:rPr/>
        <w:t xml:space="preserve">windows/scripts/Write-EnvFile.ps1</w:t>
      </w:r>
      <w:r>
        <w:rPr/>
        <w:t xml:space="preserve">: values were written without any escaping. A </w:t>
      </w:r>
      <w:r>
        <w:rPr/>
        <w:t xml:space="preserve">#</w:t>
      </w:r>
      <w:r>
        <w:rPr/>
        <w:t xml:space="preserve"> character occurring anywhere inside a password or API key was interpreted by the </w:t>
      </w:r>
      <w:r>
        <w:rPr/>
        <w:t xml:space="preserve">.env</w:t>
      </w:r>
      <w:r>
        <w:rPr/>
        <w:t xml:space="preserve"> parser as the start of a comment, silently truncating the remainder of that line, and an embedded newline in a value could similarly corrupt the file's line structure. This is fixed with a new </w:t>
      </w:r>
      <w:r>
        <w:rPr/>
        <w:t xml:space="preserve">ConvertTo-SafeEnvValue</w:t>
      </w:r>
      <w:r>
        <w:rPr/>
        <w:t xml:space="preserve"> helper, applied to every value before it is written.</w:t>
      </w:r>
    </w:p>
    <w:p>
      <w:pPr>
        <w:spacing w:lineRule="auto"/>
      </w:pPr>
      <w:r>
        <w:rPr/>
        <w:t xml:space="preserve">Neither issue involved the JWT signing or RBAC mechanisms described elsewhere in this document; both were specific to the Windows installer's wizard-to-backend session handling and its own configuration-file writer.</w:t>
      </w:r>
    </w:p>
    <w:p>
      <w:pPr>
        <w:pStyle w:val="Heading3"/>
        <w:spacing w:lineRule="auto"/>
      </w:pPr>
      <w:r>
        <w:rPr/>
        <w:t xml:space="preserve">Encryption at rest for runtime-configured provider and AI credentials</w:t>
      </w:r>
    </w:p>
    <w:p>
      <w:pPr>
        <w:spacing w:lineRule="auto"/>
      </w:pPr>
      <w:r>
        <w:rPr/>
        <w:t xml:space="preserve">A newer capability lets an administrator add, configure, enable/disable, and switch AI-backend and IOC-provider credentials at runtime through a Manage Providers UI, without editing </w:t>
      </w:r>
      <w:r>
        <w:rPr/>
        <w:t xml:space="preserve">.env</w:t>
      </w:r>
      <w:r>
        <w:rPr/>
        <w:t xml:space="preserve"> or restarting the containers. Because this moves credential entry out of the git-ignored </w:t>
      </w:r>
      <w:r>
        <w:rPr/>
        <w:t xml:space="preserve">.env</w:t>
      </w:r>
      <w:r>
        <w:rPr/>
        <w:t xml:space="preserve"> file and into the database, those values are encrypted before they are ever written.</w:t>
      </w:r>
    </w:p>
    <w:p>
      <w:pPr>
        <w:spacing w:lineRule="auto"/>
      </w:pPr>
      <w:r>
        <w:rPr/>
        <w:t xml:space="preserve">Credentials submitted through this flow are encrypted with Fernet symmetric encryption (</w:t>
      </w:r>
      <w:r>
        <w:rPr/>
        <w:t xml:space="preserve">backend/app/core/crypto.py</w:t>
      </w:r>
      <w:r>
        <w:rPr/>
        <w:t xml:space="preserve">) and persisted as ciphertext in the </w:t>
      </w:r>
      <w:r>
        <w:rPr/>
        <w:t xml:space="preserve">provider_runtime_configs</w:t>
      </w:r>
      <w:r>
        <w:rPr/>
        <w:t xml:space="preserve"> table's </w:t>
      </w:r>
      <w:r>
        <w:rPr/>
        <w:t xml:space="preserve">encrypted_credentials</w:t>
      </w:r>
      <w:r>
        <w:rPr/>
        <w:t xml:space="preserve"> column — the database never holds a plaintext runtime-configured credential. This is not merely an inference from reading the code: a direct SQL query against the running database showed only Fernet-format tokens (the </w:t>
      </w:r>
      <w:r>
        <w:rPr/>
        <w:t xml:space="preserve">gAAAAAB...</w:t>
      </w:r>
      <w:r>
        <w:rPr/>
        <w:t xml:space="preserve"> prefix), never a real key value.</w:t>
      </w:r>
    </w:p>
    <w:p>
      <w:pPr>
        <w:spacing w:lineRule="auto"/>
      </w:pPr>
      <w:r>
        <w:rPr/>
        <w:t xml:space="preserve">The Fernet key used for this encryption is resolved one of two ways: an explicit, separately-configured </w:t>
      </w:r>
      <w:r>
        <w:rPr/>
        <w:t xml:space="preserve">encryption_master_key</w:t>
      </w:r>
      <w:r>
        <w:rPr/>
        <w:t xml:space="preserve"> setting, if the operator has set one, or — by default — a key deterministically derived via HKDF from the platform's existing </w:t>
      </w:r>
      <w:r>
        <w:rPr/>
        <w:t xml:space="preserve">jwt_secret_key</w:t>
      </w:r>
      <w:r>
        <w:rPr/>
        <w:t xml:space="preserve">. The HKDF fallback means every existing installation already has a usable encryption key with no migration step required, but it is worth stating plainly what this tradeoff is: because the fallback key is derived from </w:t>
      </w:r>
      <w:r>
        <w:rPr/>
        <w:t xml:space="preserve">jwt_secret_key</w:t>
      </w:r>
      <w:r>
        <w:rPr/>
        <w:t xml:space="preserve"> rather than generated and stored independently, it is defense-in-depth against exposure of the raw database, not HSM-grade key separation — compromise of </w:t>
      </w:r>
      <w:r>
        <w:rPr/>
        <w:t xml:space="preserve">jwt_secret_key</w:t>
      </w:r>
      <w:r>
        <w:rPr/>
        <w:t xml:space="preserve"> would also expose the derived encryption key. An operator wanting stronger separation should set </w:t>
      </w:r>
      <w:r>
        <w:rPr/>
        <w:t xml:space="preserve">encryption_master_key</w:t>
      </w:r>
      <w:r>
        <w:rPr/>
        <w:t xml:space="preserve"> explicitly.</w:t>
      </w:r>
    </w:p>
    <w:p>
      <w:pPr>
        <w:spacing w:lineRule="auto"/>
      </w:pPr>
      <w:r>
        <w:rPr/>
        <w:t xml:space="preserve">Every configure, enable/disable, activate, and test-connection action taken against a provider or AI backend through this flow is separately recorded in a new </w:t>
      </w:r>
      <w:r>
        <w:rPr/>
        <w:t xml:space="preserve">config_audit_log</w:t>
      </w:r>
      <w:r>
        <w:rPr/>
        <w:t xml:space="preserve"> table (timestamp, actor email, action, and a human-readable </w:t>
      </w:r>
      <w:r>
        <w:rPr/>
        <w:t xml:space="preserve">detail</w:t>
      </w:r>
      <w:r>
        <w:rPr/>
        <w:t xml:space="preserve"> field). The write path for that table only ever accepts descriptive text as </w:t>
      </w:r>
      <w:r>
        <w:rPr/>
        <w:t xml:space="preserve">detail</w:t>
      </w:r>
      <w:r>
        <w:rPr/>
        <w:t xml:space="preserve"> — it is not a place a credential value can be written. This was checked directly, not just by reading the code: after exercising the full configure/enable/disable/test/activate flow, a grep of the audit log table's contents and of the backend logs found no real secret value in either.</w:t>
      </w:r>
    </w:p>
    <w:p>
      <w:pPr>
        <w:pStyle w:val="Heading2"/>
        <w:spacing w:lineRule="auto"/>
      </w:pPr>
      <w:r>
        <w:rPr/>
        <w:t xml:space="preserve">Network Exposure</w:t>
      </w:r>
    </w:p>
    <w:p>
      <w:pPr>
        <w:spacing w:lineRule="auto"/>
      </w:pPr>
      <w:r>
        <w:rPr/>
        <w:t xml:space="preserve">Every datastore container's port mapping in </w:t>
      </w:r>
      <w:r>
        <w:rPr/>
        <w:t xml:space="preserve">docker-compose.yml</w:t>
      </w:r>
      <w:r>
        <w:rPr/>
        <w:t xml:space="preserve"> — Postgres, Redis, both Neo4j ports, and OpenSearch — uses the explicit </w:t>
      </w:r>
      <w:r>
        <w:rPr/>
        <w:t xml:space="preserve">127.0.0.1:&lt;host_port&gt;:&lt;container_port&gt;</w:t>
      </w:r>
      <w:r>
        <w:rPr/>
        <w:t xml:space="preserve"> binding form, which restricts that port to the loopback interface only (not reachable from other machines on the network as ordinarily configured).</w:t>
      </w:r>
    </w:p>
    <w:p>
      <w:pPr>
        <w:spacing w:lineRule="auto"/>
      </w:pPr>
      <w:r>
        <w:rPr/>
        <w:t xml:space="preserve">The </w:t>
      </w:r>
      <w:r>
        <w:rPr/>
        <w:t xml:space="preserve">backend</w:t>
      </w:r>
      <w:r>
        <w:rPr/>
        <w:t xml:space="preserve"> and </w:t>
      </w:r>
      <w:r>
        <w:rPr/>
        <w:t xml:space="preserve">frontend</w:t>
      </w:r>
      <w:r>
        <w:rPr/>
        <w:t xml:space="preserve"> containers are published differently: their compose entries use the shorthand form (e.g. </w:t>
      </w:r>
      <w:r>
        <w:rPr/>
        <w:t xml:space="preserve">"${HOST_PORT_BACKEND:-8000}:8000"</w:t>
      </w:r>
      <w:r>
        <w:rPr/>
        <w:t xml:space="preserve">) with no explicit host-IP prefix. Docker's shorthand publishing binds to all host network interfaces by default — so, unlike the datastores, the backend API and frontend web app are reachable from other machines on the local network unless something else (a firewall rule, router configuration, etc.) restricts that.</w:t>
      </w:r>
    </w:p>
    <w:p>
      <w:pPr>
        <w:spacing w:lineRule="auto"/>
      </w:pPr>
      <w:r>
        <w:rPr/>
        <w:t xml:space="preserve">Note on rigor:</w:t>
      </w:r>
      <w:r>
        <w:rPr/>
        <w:t xml:space="preserve">docker-compose.yml</w:t>
      </w:r>
      <w:r>
        <w:rPr/>
        <w:t xml:space="preserve"> contains first-person comments asserting that live testing confirmed specific network-reachability behavior from another LAN machine. This section does not rely on that narrative comment as evidence — only the literal, machine-checkable YAML binding syntax described above was treated as verified fact.</w:t>
      </w:r>
    </w:p>
    <w:p>
      <w:pPr>
        <w:spacing w:lineRule="auto"/>
      </w:pPr>
      <w:r>
        <w:rPr/>
        <w:drawing>
          <wp:inline distB="0" distL="0" distR="0" distT="0">
            <wp:extent cx="6629400" cy="5904046"/>
            <wp:effectExtent b="0" l="0" r="0" t="0"/>
            <wp:docPr id="144" name="image-roGE6xsV-StHm9SSMfouR.png"/>
            <a:graphic>
              <a:graphicData uri="http://schemas.openxmlformats.org/drawingml/2006/picture">
                <pic:pic>
                  <pic:nvPicPr>
                    <pic:cNvPr id="144" name="image-roGE6xsV-StHm9SSMfouR.png" descr="Figure 72"/>
                    <pic:cNvPicPr/>
                  </pic:nvPicPr>
                  <pic:blipFill>
                    <a:blip r:embed="rId149" cstate="print"/>
                    <a:srcRect b="0" l="0" r="0" t="0"/>
                    <a:stretch>
                      <a:fillRect/>
                    </a:stretch>
                  </pic:blipFill>
                  <pic:spPr>
                    <a:xfrm>
                      <a:off x="0" y="0"/>
                      <a:ext cx="6629400" cy="5904046"/>
                    </a:xfrm>
                    <a:prstGeom prst="rect"/>
                  </pic:spPr>
                </pic:pic>
              </a:graphicData>
            </a:graphic>
          </wp:inline>
        </w:drawing>
      </w:r>
    </w:p>
    <w:p>
      <w:pPr>
        <w:pStyle w:val="Heading2"/>
        <w:spacing w:lineRule="auto"/>
      </w:pPr>
      <w:r>
        <w:rPr/>
        <w:t xml:space="preserve">Rate Limiting</w:t>
      </w:r>
    </w:p>
    <w:p>
      <w:pPr>
        <w:spacing w:lineRule="auto"/>
      </w:pPr>
      <w:r>
        <w:rPr/>
        <w:t xml:space="preserve">The codebase implements exactly </w:t>
      </w:r>
      <w:r>
        <w:rPr>
          <w:b/>
        </w:rPr>
        <w:t xml:space="preserve">one</w:t>
      </w:r>
      <w:r>
        <w:rPr/>
        <w:t xml:space="preserve"> rate limiter: a Redis fixed-window limiter that applies solely to </w:t>
      </w:r>
      <w:r>
        <w:rPr/>
        <w:t xml:space="preserve">POST /lookup/stream</w:t>
      </w:r>
      <w:r>
        <w:rPr/>
        <w:t xml:space="preserve"> (the IOC lookup endpoint), defaulting to 10 calls per 60 seconds per authenticated user — both figures are configurable.</w:t>
      </w:r>
    </w:p>
    <w:p>
      <w:pPr>
        <w:spacing w:lineRule="auto"/>
      </w:pPr>
      <w:r>
        <w:rPr/>
        <w:t xml:space="preserve">/auth/login</w:t>
      </w:r>
      <w:r>
        <w:rPr/>
        <w:t xml:space="preserve"> has a second limiter, added in a later mission-critical-reliability review (v0.2.3): a per-account Redis fixed-window limiter keyed by email (</w:t>
      </w:r>
      <w:r>
        <w:rPr/>
        <w:t xml:space="preserve">login:{email}</w:t>
      </w:r>
      <w:r>
        <w:rPr/>
        <w:t xml:space="preserve">, not source IP), defaulting to 10 attempts per 60 seconds, both configurable, returning </w:t>
      </w:r>
      <w:r>
        <w:rPr/>
        <w:t xml:space="preserve">429</w:t>
      </w:r>
      <w:r>
        <w:rPr/>
        <w:t xml:space="preserve"> once exceeded. </w:t>
      </w:r>
      <w:r>
        <w:rPr/>
        <w:t xml:space="preserve">/auth/register</w:t>
      </w:r>
      <w:r>
        <w:rPr/>
        <w:t xml:space="preserve"> still has no rate limiting of any kind.</w:t>
      </w:r>
    </w:p>
    <w:p>
      <w:pPr>
        <w:pStyle w:val="Heading2"/>
        <w:spacing w:lineRule="auto"/>
      </w:pPr>
      <w:r>
        <w:rPr/>
        <w:t xml:space="preserve">CORS Behavior</w:t>
      </w:r>
    </w:p>
    <w:p>
      <w:pPr>
        <w:spacing w:lineRule="auto"/>
      </w:pPr>
      <w:r>
        <w:rPr/>
        <w:t xml:space="preserve">Cross-Origin Resource Sharing is configured in </w:t>
      </w:r>
      <w:r>
        <w:rPr/>
        <w:t xml:space="preserve">backend/app/main.py</w:t>
      </w:r>
      <w:r>
        <w:rPr/>
        <w:t xml:space="preserve"> (lines 27-33) and its behavior depends entirely on the </w:t>
      </w:r>
      <w:r>
        <w:rPr/>
        <w:t xml:space="preserve">debug</w:t>
      </w:r>
      <w:r>
        <w:rPr/>
        <w:t xml:space="preserve"> setting:</w:t>
      </w:r>
    </w:p>
    <w:p>
      <w:pPr>
        <w:numPr>
          <w:ilvl w:val="0"/>
          <w:numId w:val="48"/>
        </w:numPr>
        <w:spacing w:lineRule="auto"/>
      </w:pPr>
      <w:r>
        <w:rPr/>
        <w:t xml:space="preserve">When </w:t>
      </w:r>
      <w:r>
        <w:rPr/>
        <w:t xml:space="preserve">settings.debug</w:t>
      </w:r>
      <w:r>
        <w:rPr/>
        <w:t xml:space="preserve"> is </w:t>
      </w:r>
      <w:r>
        <w:rPr/>
        <w:t xml:space="preserve">True</w:t>
      </w:r>
      <w:r>
        <w:rPr/>
        <w:t xml:space="preserve"> (the default), </w:t>
      </w:r>
      <w:r>
        <w:rPr/>
        <w:t xml:space="preserve">allow_origins</w:t>
      </w:r>
      <w:r>
        <w:rPr/>
        <w:t xml:space="preserve"> is set to </w:t>
      </w:r>
      <w:r>
        <w:rPr/>
        <w:t xml:space="preserve">["http://localhost:3000"]</w:t>
      </w:r>
      <w:r>
        <w:rPr/>
        <w:t xml:space="preserve">.</w:t>
      </w:r>
    </w:p>
    <w:p>
      <w:pPr>
        <w:numPr>
          <w:ilvl w:val="0"/>
          <w:numId w:val="48"/>
        </w:numPr>
        <w:spacing w:lineRule="auto"/>
      </w:pPr>
      <w:r>
        <w:rPr/>
        <w:t xml:space="preserve">When </w:t>
      </w:r>
      <w:r>
        <w:rPr/>
        <w:t xml:space="preserve">debug</w:t>
      </w:r>
      <w:r>
        <w:rPr/>
        <w:t xml:space="preserve"> is </w:t>
      </w:r>
      <w:r>
        <w:rPr/>
        <w:t xml:space="preserve">False</w:t>
      </w:r>
      <w:r>
        <w:rPr/>
        <w:t xml:space="preserve">, </w:t>
      </w:r>
      <w:r>
        <w:rPr/>
        <w:t xml:space="preserve">allow_origins</w:t>
      </w:r>
      <w:r>
        <w:rPr/>
        <w:t xml:space="preserve"> is set to </w:t>
      </w:r>
      <w:r>
        <w:rPr/>
        <w:t xml:space="preserve">[]</w:t>
      </w:r>
      <w:r>
        <w:rPr/>
        <w:t xml:space="preserve"> — an empty list, meaning </w:t>
      </w:r>
      <w:r>
        <w:rPr>
          <w:b/>
        </w:rPr>
        <w:t xml:space="preserve">zero</w:t>
      </w:r>
      <w:r>
        <w:rPr/>
        <w:t xml:space="preserve"> cross-origin browser requests are permitted.</w:t>
      </w:r>
    </w:p>
    <w:p>
      <w:pPr>
        <w:spacing w:lineRule="auto"/>
      </w:pPr>
      <w:r>
        <w:rPr/>
        <w:t xml:space="preserve">There is no </w:t>
      </w:r>
      <w:r>
        <w:rPr/>
        <w:t xml:space="preserve">CORS_ORIGINS</w:t>
      </w:r>
      <w:r>
        <w:rPr/>
        <w:t xml:space="preserve"> environment variable or other configuration knob to adjust this. Practically, this means a </w:t>
      </w:r>
      <w:r>
        <w:rPr/>
        <w:t xml:space="preserve">DEBUG=false</w:t>
      </w:r>
      <w:r>
        <w:rPr/>
        <w:t xml:space="preserve"> production deployment cannot serve a browser frontend from any other origin than the backend itself without a source-code change.</w:t>
      </w:r>
    </w:p>
    <w:p>
      <w:pPr>
        <w:pStyle w:val="Heading2"/>
        <w:spacing w:lineRule="auto"/>
      </w:pPr>
      <w:r>
        <w:rPr/>
        <w:t xml:space="preserve">Other Input-Handling Notes</w:t>
      </w:r>
    </w:p>
    <w:p>
      <w:pPr>
        <w:spacing w:lineRule="auto"/>
      </w:pPr>
      <w:r>
        <w:rPr/>
        <w:t xml:space="preserve">Two related facts are worth surfacing here because they feed directly into the hardening list below:</w:t>
      </w:r>
    </w:p>
    <w:p>
      <w:pPr>
        <w:numPr>
          <w:ilvl w:val="0"/>
          <w:numId w:val="49"/>
        </w:numPr>
        <w:spacing w:lineRule="auto"/>
      </w:pPr>
      <w:r>
        <w:rPr/>
        <w:t xml:space="preserve">LookupCreateRequest.value</w:t>
      </w:r>
      <w:r>
        <w:rPr/>
        <w:t xml:space="preserve"> (the raw IOC string submitted for lookup) is an unconstrained </w:t>
      </w:r>
      <w:r>
        <w:rPr/>
        <w:t xml:space="preserve">str</w:t>
      </w:r>
      <w:r>
        <w:rPr/>
        <w:t xml:space="preserve"> on the server side. Classification into an IOC type happens via regex-based heuristics (</w:t>
      </w:r>
      <w:r>
        <w:rPr/>
        <w:t xml:space="preserve">app/ioc/detector.py</w:t>
      </w:r>
      <w:r>
        <w:rPr/>
        <w:t xml:space="preserve">), which is pattern classification, not input sanitization.</w:t>
      </w:r>
    </w:p>
    <w:p>
      <w:pPr>
        <w:numPr>
          <w:ilvl w:val="0"/>
          <w:numId w:val="49"/>
        </w:numPr>
        <w:spacing w:lineRule="auto"/>
      </w:pPr>
      <w:r>
        <w:rPr/>
        <w:t xml:space="preserve">RegisterRequest.password</w:t>
      </w:r>
      <w:r>
        <w:rPr/>
        <w:t xml:space="preserve"> carries a server-side 8-character minimum (</w:t>
      </w:r>
      <w:r>
        <w:rPr/>
        <w:t xml:space="preserve">Field(min_length=8, ...)</w:t>
      </w:r>
      <w:r>
        <w:rPr/>
        <w:t xml:space="preserve">, </w:t>
      </w:r>
      <w:r>
        <w:rPr/>
        <w:t xml:space="preserve">app/schemas/auth.py</w:t>
      </w:r>
      <w:r>
        <w:rPr/>
        <w:t xml:space="preserve">), enforced by Pydantic for every account, not just the bootstrap admin — but no complexity rule (digit/symbol/case) beyond that length floor. The Setup Wizard's own UI also enforces an 8-character minimum when creating the bootstrap admin account, matching the backend constraint rather than substituting for it.</w:t>
      </w:r>
    </w:p>
    <w:p>
      <w:pPr>
        <w:pStyle w:val="Heading2"/>
        <w:spacing w:lineRule="auto"/>
      </w:pPr>
      <w:r>
        <w:rPr/>
        <w:t xml:space="preserve">Areas for Future Hardening</w:t>
      </w:r>
    </w:p>
    <w:p>
      <w:pPr>
        <w:spacing w:lineRule="auto"/>
      </w:pPr>
      <w:r>
        <w:rPr/>
        <w:t xml:space="preserve">Based only on the facts established above:</w:t>
      </w:r>
    </w:p>
    <w:p>
      <w:pPr>
        <w:numPr>
          <w:ilvl w:val="0"/>
          <w:numId w:val="50"/>
        </w:numPr>
        <w:spacing w:lineRule="auto"/>
      </w:pPr>
      <w:r>
        <w:rPr>
          <w:b/>
        </w:rPr>
        <w:t xml:space="preserve">Default JWT secret is a known literal.</w:t>
      </w:r>
      <w:r>
        <w:rPr/>
        <w:t xml:space="preserve">jwt_secret_key</w:t>
      </w:r>
      <w:r>
        <w:rPr/>
        <w:t xml:space="preserve"> defaults to </w:t>
      </w:r>
      <w:r>
        <w:rPr/>
        <w:t xml:space="preserve">"change-me-in-production"</w:t>
      </w:r>
      <w:r>
        <w:rPr/>
        <w:t xml:space="preserve"> if the operator never sets it explicitly — any instance that ships with this unedited has a predictable signing key.</w:t>
      </w:r>
    </w:p>
    <w:p>
      <w:pPr>
        <w:numPr>
          <w:ilvl w:val="0"/>
          <w:numId w:val="50"/>
        </w:numPr>
        <w:spacing w:lineRule="auto"/>
      </w:pPr>
      <w:r>
        <w:rPr>
          <w:b/>
        </w:rPr>
        <w:t xml:space="preserve">No rate limiting on </w:t>
      </w:r>
      <w:r>
        <w:rPr>
          <w:b/>
        </w:rPr>
        <w:t xml:space="preserve">/auth/register</w:t>
      </w:r>
      <w:r>
        <w:rPr>
          <w:b/>
        </w:rPr>
        <w:t xml:space="preserve">.</w:t>
      </w:r>
      <w:r>
        <w:rPr/>
        <w:t xml:space="preserve">/auth/login</w:t>
      </w:r>
      <w:r>
        <w:rPr/>
        <w:t xml:space="preserve"> gained a real per-account rate limiter in v0.2.3 (see Rate Limiting above); registration has no throttling against repeated attempts.</w:t>
      </w:r>
    </w:p>
    <w:p>
      <w:pPr>
        <w:numPr>
          <w:ilvl w:val="0"/>
          <w:numId w:val="50"/>
        </w:numPr>
        <w:spacing w:lineRule="auto"/>
      </w:pPr>
      <w:r>
        <w:rPr>
          <w:b/>
        </w:rPr>
        <w:t xml:space="preserve">No server-side password complexity rule beyond length.</w:t>
      </w:r>
      <w:r>
        <w:rPr/>
        <w:t xml:space="preserve"> The backend enforces an 8-character minimum for every account (</w:t>
      </w:r>
      <w:r>
        <w:rPr/>
        <w:t xml:space="preserve">app/schemas/auth.py</w:t>
      </w:r>
      <w:r>
        <w:rPr/>
        <w:t xml:space="preserve">), but no digit/symbol/case requirement on top of that.</w:t>
      </w:r>
    </w:p>
    <w:p>
      <w:pPr>
        <w:numPr>
          <w:ilvl w:val="0"/>
          <w:numId w:val="50"/>
        </w:numPr>
        <w:spacing w:lineRule="auto"/>
      </w:pPr>
      <w:r>
        <w:rPr>
          <w:b/>
        </w:rPr>
        <w:t xml:space="preserve">One admin-tier permission still has no enforcing route.</w:t>
      </w:r>
      <w:r>
        <w:rPr/>
        <w:t xml:space="preserve">user:manage</w:t>
      </w:r>
      <w:r>
        <w:rPr/>
        <w:t xml:space="preserve"> is defined in the RBAC permission matrix but, unlike </w:t>
      </w:r>
      <w:r>
        <w:rPr/>
        <w:t xml:space="preserve">provider:manage</w:t>
      </w:r>
      <w:r>
        <w:rPr/>
        <w:t xml:space="preserve"> and </w:t>
      </w:r>
      <w:r>
        <w:rPr/>
        <w:t xml:space="preserve">audit:read</w:t>
      </w:r>
      <w:r>
        <w:rPr/>
        <w:t xml:space="preserve">, is not currently checked by any route.</w:t>
      </w:r>
    </w:p>
    <w:p>
      <w:pPr>
        <w:numPr>
          <w:ilvl w:val="0"/>
          <w:numId w:val="50"/>
        </w:numPr>
        <w:spacing w:lineRule="auto"/>
      </w:pPr>
      <w:r>
        <w:rPr>
          <w:b/>
        </w:rPr>
        <w:t xml:space="preserve">Backend and frontend ports are not loopback-restricted by default.</w:t>
      </w:r>
      <w:r>
        <w:rPr/>
        <w:t xml:space="preserve"> Datastores (Postgres, Redis, Neo4j, OpenSearch) are bound to </w:t>
      </w:r>
      <w:r>
        <w:rPr/>
        <w:t xml:space="preserve">127.0.0.1</w:t>
      </w:r>
      <w:r>
        <w:rPr/>
        <w:t xml:space="preserve"> only; the backend API and frontend web app publish on all host interfaces by default, unless the operator adds their own network restriction.</w:t>
      </w:r>
    </w:p>
    <w:p>
      <w:pPr>
        <w:numPr>
          <w:ilvl w:val="0"/>
          <w:numId w:val="50"/>
        </w:numPr>
        <w:spacing w:lineRule="auto"/>
      </w:pPr>
      <w:r>
        <w:rPr>
          <w:b/>
        </w:rPr>
        <w:t xml:space="preserve">Runtime-credential encryption key defaults to a derived, not independently-generated, secret.</w:t>
      </w:r>
      <w:r>
        <w:rPr/>
        <w:t xml:space="preserve"> Unless an operator explicitly sets </w:t>
      </w:r>
      <w:r>
        <w:rPr/>
        <w:t xml:space="preserve">encryption_master_key</w:t>
      </w:r>
      <w:r>
        <w:rPr/>
        <w:t xml:space="preserve">, the Fernet key protecting runtime-configured provider/AI credentials (see Secrets Management above) is deterministically derived via HKDF from </w:t>
      </w:r>
      <w:r>
        <w:rPr/>
        <w:t xml:space="preserve">jwt_secret_key</w:t>
      </w:r>
      <w:r>
        <w:rPr/>
        <w:t xml:space="preserve"> rather than generated and stored separately. That is a reasonable defense-in-depth default — it means every existing install already has a working encryption key — but it is not equivalent to HSM-grade key separation: compromise of </w:t>
      </w:r>
      <w:r>
        <w:rPr/>
        <w:t xml:space="preserve">jwt_secret_key</w:t>
      </w:r>
      <w:r>
        <w:rPr/>
        <w:t xml:space="preserve"> would also expose the derived encryption key.</w:t>
      </w:r>
    </w:p>
    <w:p>
      <w:r>
        <w:br w:type="page"/>
      </w:r>
    </w:p>
    <w:p>
      <w:pPr>
        <w:pStyle w:val="Heading1"/>
        <w:spacing w:lineRule="auto"/>
      </w:pPr>
      <w:r>
        <w:rPr/>
        <w:t xml:space="preserve">Testing and Quality Assurance</w:t>
      </w:r>
    </w:p>
    <w:p>
      <w:pPr>
        <w:spacing w:lineRule="auto"/>
      </w:pPr>
      <w:r>
        <w:rPr/>
        <w:t xml:space="preserve">This appendix covers two distinct, non-overlapping bodies of evidence about the quality of HORIZON GRID (a self-hosted tool that looks up an </w:t>
      </w:r>
      <w:r>
        <w:rPr>
          <w:b/>
        </w:rPr>
        <w:t xml:space="preserve">IOC</w:t>
      </w:r>
      <w:r>
        <w:rPr/>
        <w:t xml:space="preserve"> — Indicator of Compromise, e.g. an IP address, domain, URL, or file hash — against many third-party threat-intelligence sources at once, then uses a local or cloud AI model to summarize and correlate the results):</w:t>
      </w:r>
    </w:p>
    <w:p>
      <w:pPr>
        <w:numPr>
          <w:ilvl w:val="0"/>
          <w:numId w:val="51"/>
        </w:numPr>
        <w:spacing w:lineRule="auto"/>
      </w:pPr>
      <w:r>
        <w:rPr>
          <w:b/>
        </w:rPr>
        <w:t xml:space="preserve">Automated test suites</w:t>
      </w:r>
      <w:r>
        <w:rPr/>
        <w:t xml:space="preserve"> that exist in the source code today (backend unit + integration tests, frontend tooling), confirmed by direct source-code inspection.</w:t>
      </w:r>
    </w:p>
    <w:p>
      <w:pPr>
        <w:numPr>
          <w:ilvl w:val="0"/>
          <w:numId w:val="51"/>
        </w:numPr>
        <w:spacing w:lineRule="auto"/>
      </w:pPr>
      <w:r>
        <w:rPr>
          <w:b/>
        </w:rPr>
        <w:t xml:space="preserve">Manual/QA end-to-end validation history</w:t>
      </w:r>
      <w:r>
        <w:rPr/>
        <w:t xml:space="preserve"> — a full install-to-uninstall exercise of the actual compiled Windows installer, with a bug list, fixes, and a final release verdict.</w:t>
      </w:r>
    </w:p>
    <w:p>
      <w:pPr>
        <w:spacing w:lineRule="auto"/>
      </w:pPr>
      <w:r>
        <w:rPr/>
        <w:t xml:space="preserve">These two bodies of evidence come from different inspection passes and are reported separately below. Where a number (test count, line count, bug count) is stated, it is attributed to its source and not blended with the other source to make the two agree.</w:t>
      </w:r>
    </w:p>
    <w:p>
      <w:pPr>
        <w:pStyle w:val="Heading2"/>
        <w:spacing w:lineRule="auto"/>
      </w:pPr>
      <w:r>
        <w:rPr/>
        <w:t xml:space="preserve">1. Automated Test Suites</w:t>
      </w:r>
    </w:p>
    <w:p>
      <w:pPr>
        <w:pStyle w:val="Heading3"/>
        <w:spacing w:lineRule="auto"/>
      </w:pPr>
      <w:r>
        <w:rPr/>
        <w:t xml:space="preserve">1.1 Backend</w:t>
      </w:r>
    </w:p>
    <w:p>
      <w:pPr>
        <w:spacing w:lineRule="auto"/>
      </w:pPr>
      <w:r>
        <w:rPr/>
        <w:t xml:space="preserve">The backend (FastAPI/Python) test suite lives under </w:t>
      </w:r>
      <w:r>
        <w:rPr/>
        <w:t xml:space="preserve">backend/app/tests/</w:t>
      </w:r>
      <w:r>
        <w:rPr/>
        <w:t xml:space="preserve"> and uses </w:t>
      </w:r>
      <w:r>
        <w:rPr>
          <w:b/>
        </w:rPr>
        <w:t xml:space="preserve">pytest</w:t>
      </w:r>
      <w:r>
        <w:rPr/>
        <w:t xml:space="preserve">, </w:t>
      </w:r>
      <w:r>
        <w:rPr>
          <w:b/>
        </w:rPr>
        <w:t xml:space="preserve">pytest-asyncio</w:t>
      </w:r>
      <w:r>
        <w:rPr/>
        <w:t xml:space="preserve">, </w:t>
      </w:r>
      <w:r>
        <w:rPr>
          <w:b/>
        </w:rPr>
        <w:t xml:space="preserve">pytest-cov</w:t>
      </w:r>
      <w:r>
        <w:rPr/>
        <w:t xml:space="preserve">, and </w:t>
      </w:r>
      <w:r>
        <w:rPr>
          <w:b/>
        </w:rPr>
        <w:t xml:space="preserve">respx</w:t>
      </w:r>
      <w:r>
        <w:rPr/>
        <w:t xml:space="preserve"> (an HTTP-mocking library), all declared in </w:t>
      </w:r>
      <w:r>
        <w:rPr/>
        <w:t xml:space="preserve">requirements.txt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Approx. line count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 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~1,486 lines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~1,009 lines</w:t>
            </w:r>
          </w:p>
        </w:tc>
      </w:tr>
    </w:tbl>
    <w:p>
      <w:pPr>
        <w:spacing w:lineRule="auto"/>
      </w:pPr>
      <w:r>
        <w:rPr/>
      </w:r>
    </w:p>
    <w:p>
      <w:pPr>
        <w:spacing w:lineRule="auto"/>
      </w:pPr>
      <w:r>
        <w:rPr>
          <w:b/>
        </w:rPr>
        <w:t xml:space="preserve">Unit tests</w:t>
      </w:r>
      <w:r>
        <w:rPr/>
        <w:t xml:space="preserve"> cover: abuse.ch status mapping, AI schemas/validators, the AI service (including its no-evidence short-circuit guard, described below), </w:t>
      </w:r>
      <w:r>
        <w:rPr/>
        <w:t xml:space="preserve">analysis_service</w:t>
      </w:r>
      <w:r>
        <w:rPr/>
        <w:t xml:space="preserve"> grounding logic, connection-test handlers, the correlation engine, the OSINT crawler's collector/rate-limit logic, the evidence builder, the IOC-type detector, pivot logic, the provider base class, and WHOIS/RDAP handling.</w:t>
      </w:r>
    </w:p>
    <w:p>
      <w:pPr>
        <w:spacing w:lineRule="auto"/>
      </w:pPr>
      <w:r>
        <w:rPr>
          <w:b/>
        </w:rPr>
        <w:t xml:space="preserve">Integration tests</w:t>
      </w:r>
      <w:r>
        <w:rPr/>
        <w:t xml:space="preserve"> are three named files: </w:t>
      </w:r>
      <w:r>
        <w:rPr/>
        <w:t xml:space="preserve">test_lookup_flow.py</w:t>
      </w:r>
      <w:r>
        <w:rPr/>
        <w:t xml:space="preserve">, </w:t>
      </w:r>
      <w:r>
        <w:rPr/>
        <w:t xml:space="preserve">test_lookup_stream_persistence.py</w:t>
      </w:r>
      <w:r>
        <w:rPr/>
        <w:t xml:space="preserve">, and </w:t>
      </w:r>
      <w:r>
        <w:rPr/>
        <w:t xml:space="preserve">test_api_health.py</w:t>
      </w:r>
      <w:r>
        <w:rPr/>
        <w:t xml:space="preserve">. They exercise the real lookup </w:t>
      </w:r>
      <w:r>
        <w:rPr>
          <w:b/>
        </w:rPr>
        <w:t xml:space="preserve">orchestrator</w:t>
      </w:r>
      <w:r>
        <w:rPr/>
        <w:t xml:space="preserve"> (the component that fans a lookup out to every applicable data-source connector, called a "provider," concurrently) end-to-end, but against:</w:t>
      </w:r>
    </w:p>
    <w:p>
      <w:pPr>
        <w:numPr>
          <w:ilvl w:val="0"/>
          <w:numId w:val="52"/>
        </w:numPr>
        <w:spacing w:lineRule="auto"/>
      </w:pPr>
      <w:r>
        <w:rPr>
          <w:b/>
        </w:rPr>
        <w:t xml:space="preserve">Fake </w:t>
      </w:r>
      <w:r>
        <w:rPr>
          <w:b/>
        </w:rPr>
        <w:t xml:space="preserve">BaseProvider</w:t>
      </w:r>
      <w:r>
        <w:rPr>
          <w:b/>
        </w:rPr>
        <w:t xml:space="preserve"> subclasses</w:t>
      </w:r>
      <w:r>
        <w:rPr/>
        <w:t xml:space="preserve"> standing in for real providers — the real, network-hitting connectors (VirusTotal, AbuseIPDB, etc.) are never called in these tests;</w:t>
      </w:r>
    </w:p>
    <w:p>
      <w:pPr>
        <w:numPr>
          <w:ilvl w:val="0"/>
          <w:numId w:val="52"/>
        </w:numPr>
        <w:spacing w:lineRule="auto"/>
      </w:pPr>
      <w:r>
        <w:rPr>
          <w:b/>
        </w:rPr>
        <w:t xml:space="preserve">respx-mocked HTTP</w:t>
      </w:r>
      <w:r>
        <w:rPr/>
        <w:t xml:space="preserve"> for any HTTP calls that do occur;</w:t>
      </w:r>
    </w:p>
    <w:p>
      <w:pPr>
        <w:numPr>
          <w:ilvl w:val="0"/>
          <w:numId w:val="52"/>
        </w:numPr>
        <w:spacing w:lineRule="auto"/>
      </w:pPr>
      <w:r>
        <w:rPr/>
        <w:t xml:space="preserve">a </w:t>
      </w:r>
      <w:r>
        <w:rPr>
          <w:b/>
        </w:rPr>
        <w:t xml:space="preserve">real Redis</w:t>
      </w:r>
      <w:r>
        <w:rPr/>
        <w:t xml:space="preserve"> instance reached via docker-compose (these tests auto-skip if Redis is not reachable, rather than failing).</w:t>
      </w:r>
    </w:p>
    <w:p>
      <w:pPr>
        <w:spacing w:lineRule="auto"/>
      </w:pPr>
      <w:r>
        <w:rPr/>
        <w:t xml:space="preserve">With that harness, the integration tests verify: concurrent (parallel, not sequential) fan-out across providers, isolation of a single provider's failure from the rest of the investigation, cache hit/miss behavior, and correct short-circuiting for providers that are unsupported for a given IOC type or not configured (missing API key).</w:t>
      </w:r>
    </w:p>
    <w:p>
      <w:pPr>
        <w:spacing w:lineRule="auto"/>
      </w:pPr>
      <w:r>
        <w:rPr/>
        <w:drawing>
          <wp:inline distB="0" distL="0" distR="0" distT="0">
            <wp:extent cx="6419850" cy="1524000"/>
            <wp:effectExtent b="0" l="0" r="0" t="0"/>
            <wp:docPr id="146" name="image-p4DyL_ZviIXo2mSCP9V9l.png"/>
            <a:graphic>
              <a:graphicData uri="http://schemas.openxmlformats.org/drawingml/2006/picture">
                <pic:pic>
                  <pic:nvPicPr>
                    <pic:cNvPr id="146" name="image-p4DyL_ZviIXo2mSCP9V9l.png" descr="Figure 73"/>
                    <pic:cNvPicPr/>
                  </pic:nvPicPr>
                  <pic:blipFill>
                    <a:blip r:embed="rId151" cstate="print"/>
                    <a:srcRect b="0" l="0" r="0" t="0"/>
                    <a:stretch>
                      <a:fillRect/>
                    </a:stretch>
                  </pic:blipFill>
                  <pic:spPr>
                    <a:xfrm>
                      <a:off x="0" y="0"/>
                      <a:ext cx="6419850" cy="1524000"/>
                    </a:xfrm>
                    <a:prstGeom prst="rect"/>
                  </pic:spPr>
                </pic:pic>
              </a:graphicData>
            </a:graphic>
          </wp:inline>
        </w:drawing>
      </w:r>
    </w:p>
    <w:p>
      <w:pPr>
        <w:spacing w:lineRule="auto"/>
      </w:pPr>
      <w:r>
        <w:rPr>
          <w:b/>
        </w:rPr>
        <w:t xml:space="preserve">Coverage percentage: Not measured.</w:t>
      </w:r>
      <w:r>
        <w:rPr/>
        <w:t xml:space="preserve">pytest-cov</w:t>
      </w:r>
      <w:r>
        <w:rPr/>
        <w:t xml:space="preserve"> is present as a declared dependency, but no coverage percentage, threshold, or report is asserted anywhere in the source. Only file counts, line counts, and which behaviors the tests exercise are confirmed above.</w:t>
      </w:r>
    </w:p>
    <w:p>
      <w:pPr>
        <w:pStyle w:val="Heading3"/>
        <w:spacing w:lineRule="auto"/>
      </w:pPr>
      <w:r>
        <w:rPr/>
        <w:t xml:space="preserve">1.2 Frontend</w:t>
      </w:r>
    </w:p>
    <w:p>
      <w:pPr>
        <w:spacing w:lineRule="auto"/>
      </w:pPr>
      <w:r>
        <w:rPr/>
        <w:t xml:space="preserve">The frontend (Next.js/React/TypeScript) declares a </w:t>
      </w:r>
      <w:r>
        <w:rPr/>
        <w:t xml:space="preserve">"test": "vitest run"</w:t>
      </w:r>
      <w:r>
        <w:rPr/>
        <w:t xml:space="preserve"> script in </w:t>
      </w:r>
      <w:r>
        <w:rPr/>
        <w:t xml:space="preserve">package.json</w:t>
      </w:r>
      <w:r>
        <w:rPr/>
        <w:t xml:space="preserve"> and lists Vitest as a devDependency — the test </w:t>
      </w:r>
      <w:r>
        <w:rPr/>
        <w:t xml:space="preserve">runner</w:t>
      </w:r>
      <w:r>
        <w:rPr/>
        <w:t xml:space="preserve"> is configured.</w:t>
      </w:r>
    </w:p>
    <w:p>
      <w:pPr>
        <w:spacing w:lineRule="auto"/>
      </w:pPr>
      <w:r>
        <w:rPr>
          <w:b/>
        </w:rPr>
        <w:t xml:space="preserve">However, a repo-wide search for </w:t>
      </w:r>
      <w:r>
        <w:rPr>
          <w:b/>
        </w:rPr>
        <w:t xml:space="preserve">*.test.*</w:t>
      </w:r>
      <w:r>
        <w:rPr>
          <w:b/>
        </w:rPr>
        <w:t xml:space="preserve"> / </w:t>
      </w:r>
      <w:r>
        <w:rPr>
          <w:b/>
        </w:rPr>
        <w:t xml:space="preserve">*.spec.*</w:t>
      </w:r>
      <w:r>
        <w:rPr>
          <w:b/>
        </w:rPr>
        <w:t xml:space="preserve"> files under </w:t>
      </w:r>
      <w:r>
        <w:rPr>
          <w:b/>
        </w:rPr>
        <w:t xml:space="preserve">frontend/</w:t>
      </w:r>
      <w:r>
        <w:rPr>
          <w:b/>
        </w:rPr>
        <w:t xml:space="preserve"> (excluding </w:t>
      </w:r>
      <w:r>
        <w:rPr>
          <w:b/>
        </w:rPr>
        <w:t xml:space="preserve">node_modules</w:t>
      </w:r>
      <w:r>
        <w:rPr>
          <w:b/>
        </w:rPr>
        <w:t xml:space="preserve"> and </w:t>
      </w:r>
      <w:r>
        <w:rPr>
          <w:b/>
        </w:rPr>
        <w:t xml:space="preserve">.next</w:t>
      </w:r>
      <w:r>
        <w:rPr>
          <w:b/>
        </w:rPr>
        <w:t xml:space="preserve">) found zero test files.</w:t>
      </w:r>
      <w:r>
        <w:rPr/>
        <w:t xml:space="preserve"> Stated plainly: the frontend has test tooling wired up but no automated tests actually exist. This is a real, reportable gap in the current build — running </w:t>
      </w:r>
      <w:r>
        <w:rPr/>
        <w:t xml:space="preserve">npm test</w:t>
      </w:r>
      <w:r>
        <w:rPr/>
        <w:t xml:space="preserve"> in the frontend would execute Vitest against an empty test set.</w:t>
      </w:r>
    </w:p>
    <w:p>
      <w:pPr>
        <w:pStyle w:val="Heading3"/>
        <w:spacing w:lineRule="auto"/>
      </w:pPr>
      <w:r>
        <w:rPr/>
        <w:t xml:space="preserve">1.3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Framework(s) 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files that actually exist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Coverage %</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respx, real 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 (declared)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 (no tests to measure)</w:t>
            </w:r>
          </w:p>
        </w:tc>
      </w:tr>
    </w:tbl>
    <w:p>
      <w:pPr>
        <w:spacing w:lineRule="auto"/>
      </w:pPr>
      <w:r>
        <w:rPr/>
      </w:r>
    </w:p>
    <w:p>
      <w:pPr>
        <w:pStyle w:val="Heading3"/>
        <w:spacing w:lineRule="auto"/>
      </w:pPr>
      <w:r>
        <w:rPr/>
        <w:t xml:space="preserve">1.4 Regression Tests for the API-Key / AI-Backend Configuration Fix</w:t>
      </w:r>
    </w:p>
    <w:p>
      <w:pPr>
        <w:spacing w:lineRule="auto"/>
      </w:pPr>
      <w:r>
        <w:rPr/>
        <w:t xml:space="preserve">A follow-on engineering pass fixed a bug where entering, saving, and testing provider and AI-backend API-key credentials in the Windows setup wizard was unreliable — every "Test Connection" button required a session token that had previously only ever been set deep inside the final "Start Installation" step, so a credential could never be tested before a full install completed, and never at all on a reconfigure run where the admin-account fields were left blank to preserve an existing account. The same pass added Groq as a fifth AI backend alongside Ollama, Anthropic, Bedrock, and Gemini, and introduced a live connection-test endpoint shared by all five backends.</w:t>
      </w:r>
    </w:p>
    <w:p>
      <w:pPr>
        <w:spacing w:lineRule="auto"/>
      </w:pPr>
      <w:r>
        <w:rPr/>
        <w:t xml:space="preserve">That fix shipped with a new regression-test file, </w:t>
      </w:r>
      <w:r>
        <w:rPr/>
        <w:t xml:space="preserve">backend/app/tests/unit/test_ai_connection_test.py</w:t>
      </w:r>
      <w:r>
        <w:rPr/>
        <w:t xml:space="preserve">, adding </w:t>
      </w:r>
      <w:r>
        <w:rPr>
          <w:b/>
        </w:rPr>
        <w:t xml:space="preserve">16 automated tests</w:t>
      </w:r>
      <w:r>
        <w:rPr/>
        <w:t xml:space="preserve"> that exercise the connection-test logic for all five AI backends that existed at the time using </w:t>
      </w:r>
      <w:r>
        <w:rPr>
          <w:b/>
        </w:rPr>
        <w:t xml:space="preserve">mock/fake credentials only</w:t>
      </w:r>
      <w:r>
        <w:rPr/>
        <w:t xml:space="preserve"> — no real API key ever appears in the test suite — with </w:t>
      </w:r>
      <w:r>
        <w:rPr>
          <w:b/>
        </w:rPr>
        <w:t xml:space="preserve">respx</w:t>
      </w:r>
      <w:r>
        <w:rPr/>
        <w:t xml:space="preserve">-mocked HTTP responses standing in for the real provider APIs. The 16 tests covered, across those five backends: a successful ping, an invalid-key/401 response, a rate-limit/429 response, a model-not-found/404 response, a request timeout, and a network error, each expected to be reported as its own specific, honest failure category rather than a generic error. With this file added, the full backend automated suite was reported as </w:t>
      </w:r>
      <w:r>
        <w:rPr>
          <w:b/>
        </w:rPr>
        <w:t xml:space="preserve">144 tests total, passing with no regressions</w:t>
      </w:r>
      <w:r>
        <w:rPr/>
        <w:t xml:space="preserve"> at that point in the project's history — a count reported by this follow-on pass itself, distinct from (and not necessarily contemporaneous with) the 13-file/~1,486-line source-inspection figures in Section 1.1 above.</w:t>
      </w:r>
    </w:p>
    <w:p>
      <w:pPr>
        <w:spacing w:lineRule="auto"/>
      </w:pPr>
      <w:r>
        <w:rPr>
          <w:b/>
        </w:rPr>
        <w:t xml:space="preserve">Current state (v0.2.3):</w:t>
      </w:r>
      <w:r>
        <w:rPr/>
        <w:t xml:space="preserve"> the same file has since grown alongside the AI backend roster — six more backends (OpenAI, Kimi, DeepSeek, xAI, Mistral, OpenRouter) joined the original five, each with its own block of backend-specific test cases (including a few genuinely backend-specific scenarios: Kimi's forced-tool-call-vs-thinking-mode conflict, DeepSeek's provider-specific HTTP 402, xAI's flat non-nested error body). </w:t>
      </w:r>
      <w:r>
        <w:rPr/>
        <w:t xml:space="preserve">test_ai_connection_test.py</w:t>
      </w:r>
      <w:r>
        <w:rPr/>
        <w:t xml:space="preserve"> now contains </w:t>
      </w:r>
      <w:r>
        <w:rPr>
          <w:b/>
        </w:rPr>
        <w:t xml:space="preserve">53 test functions</w:t>
      </w:r>
      <w:r>
        <w:rPr/>
        <w:t xml:space="preserve"> covering all eleven backends. See </w:t>
      </w:r>
      <w:r>
        <w:rPr/>
        <w:t xml:space="preserve">TEST_EVIDENCE_CURRENT_VERSION.md</w:t>
      </w:r>
      <w:r>
        <w:rPr/>
        <w:t xml:space="preserve"> for this release's authoritative, actually-executed full-suite numbers rather than the historical 144 figure above, which predates most of this project's test growth.</w:t>
      </w:r>
    </w:p>
    <w:p>
      <w:pPr>
        <w:pStyle w:val="Heading2"/>
        <w:spacing w:lineRule="auto"/>
      </w:pPr>
      <w:r>
        <w:rPr/>
        <w:t xml:space="preserve">2. Manual / QA End-to-End Validation History</w:t>
      </w:r>
    </w:p>
    <w:p>
      <w:pPr>
        <w:spacing w:lineRule="auto"/>
      </w:pPr>
      <w:r>
        <w:rPr/>
        <w:t xml:space="preserve">Separately from the automated suites above, a full manual QA pass was performed against the actual compiled Windows installer (</w:t>
      </w:r>
      <w:r>
        <w:rPr/>
        <w:t xml:space="preserve">IOC-Intelligence-Platform-Setup-0.1.0.exe</w:t>
      </w:r>
      <w:r>
        <w:rPr/>
        <w:t xml:space="preserve">, version 0.1.0, ~62.6 MB final build, SHA256 </w:t>
      </w:r>
      <w:r>
        <w:rPr/>
        <w:t xml:space="preserve">b32b1cc02205a0a53dda200d6bc336943a71df6b930cecd2dff45b28d84e81e8</w:t>
      </w:r>
      <w:r>
        <w:rPr/>
        <w:t xml:space="preserve">), dated 2026-08-11, and documented in </w:t>
      </w:r>
      <w:r>
        <w:rPr/>
        <w:t xml:space="preserve">FINAL_END_TO_END_TEST_REPORT.md</w:t>
      </w:r>
      <w:r>
        <w:rPr/>
        <w:t xml:space="preserve">. This pass treated the build as never-before-tested and covered install, configuration, normal use, deliberate failure injection, a real Windows reboot, uninstall, reinstall, and a final independent clean install — exercised against the real installer and running containers, not source/dev-server shortcuts.</w:t>
      </w:r>
    </w:p>
    <w:p>
      <w:pPr>
        <w:spacing w:lineRule="auto"/>
      </w:pPr>
      <w:r>
        <w:rPr/>
        <w:drawing>
          <wp:inline distB="0" distL="0" distR="0" distT="0">
            <wp:extent cx="6629400" cy="332420"/>
            <wp:effectExtent b="0" l="0" r="0" t="0"/>
            <wp:docPr id="148" name="image-iFc-0htZbw1x6x7nOYP7b.png"/>
            <a:graphic>
              <a:graphicData uri="http://schemas.openxmlformats.org/drawingml/2006/picture">
                <pic:pic>
                  <pic:nvPicPr>
                    <pic:cNvPr id="148" name="image-iFc-0htZbw1x6x7nOYP7b.png" descr="Figure 74"/>
                    <pic:cNvPicPr/>
                  </pic:nvPicPr>
                  <pic:blipFill>
                    <a:blip r:embed="rId153" cstate="print"/>
                    <a:srcRect b="0" l="0" r="0" t="0"/>
                    <a:stretch>
                      <a:fillRect/>
                    </a:stretch>
                  </pic:blipFill>
                  <pic:spPr>
                    <a:xfrm>
                      <a:off x="0" y="0"/>
                      <a:ext cx="6629400" cy="332420"/>
                    </a:xfrm>
                    <a:prstGeom prst="rect"/>
                  </pic:spPr>
                </pic:pic>
              </a:graphicData>
            </a:graphic>
          </wp:inline>
        </w:drawing>
      </w:r>
    </w:p>
    <w:p>
      <w:pPr>
        <w:pStyle w:val="Heading3"/>
        <w:spacing w:lineRule="auto"/>
      </w:pPr>
      <w:r>
        <w:rPr/>
        <w:t xml:space="preserve">2.1 Final Verdict</w:t>
      </w:r>
    </w:p>
    <w:p>
      <w:pPr>
        <w:spacing w:lineRule="auto"/>
      </w:pPr>
      <w:r>
        <w:rPr>
          <w:b/>
        </w:rPr>
        <w:t xml:space="preserve">READY FOR RELEASE.</w:t>
      </w:r>
      <w:r>
        <w:rPr/>
        <w:t xml:space="preserve"> The report's stated justification: every defect found — including the single most severe one (AI evidence-free fabrication, below) — was root-caused, fixed, covered by a regression test, and re-verified against the real running product. The three highest-severity findings (AI fabrication, LAN-exposed unauthenticated datastores, and silent data loss on client disconnect) were all closed with direct, live re-confirmation. Remaining open items are explicitly scoped-out unbuilt features (Report generation, PDF/CSV export, Timeline) and small-model AI-quality limitations, not incorrect or unsafe behavior.</w:t>
      </w:r>
    </w:p>
    <w:p>
      <w:pPr>
        <w:pStyle w:val="Heading3"/>
        <w:spacing w:lineRule="auto"/>
      </w:pPr>
      <w:r>
        <w:rPr/>
        <w:t xml:space="preserve">2.2 Specific Bugs Found and Fixed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safety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Fabricated </w:t>
            </w:r>
          </w:p>
          <w:p>
            <w:pPr>
              <w:spacing w:lineRule="auto"/>
            </w:pPr>
            <w:r>
              <w:rPr>
                <w:highlight w:val="lightGray"/>
              </w:rPr>
              <w:t xml:space="preserve">final_verdict: "highly_malicious"</w:t>
            </w:r>
          </w:p>
          <w:p>
            <w:pPr>
              <w:spacing w:lineRule="auto"/>
            </w:pPr>
            <w:r>
              <w:rPr/>
              <w:t xml:space="preserve">, </w:t>
            </w:r>
          </w:p>
          <w:p>
            <w:pPr>
              <w:spacing w:lineRule="auto"/>
            </w:pPr>
            <w:r>
              <w:rPr>
                <w:highlight w:val="lightGray"/>
              </w:rPr>
              <w:t xml:space="preserve">malicious_probability: 92</w:t>
            </w:r>
          </w:p>
          <w:p>
            <w:pPr>
              <w:spacing w:lineRule="auto"/>
            </w:pPr>
            <w:r>
              <w:rPr/>
              <w:t xml:space="preserve">, and invented "association with ransomware and trojans" for the EICAR test hash (</w:t>
            </w:r>
          </w:p>
          <w:p>
            <w:pPr>
              <w:spacing w:lineRule="auto"/>
            </w:pPr>
            <w:r>
              <w:rPr>
                <w:highlight w:val="lightGray"/>
              </w:rPr>
              <w:t xml:space="preserve">44d88612fea8a8f36de82e1278abb02f</w:t>
            </w:r>
          </w:p>
          <w:p>
            <w:pPr>
              <w:spacing w:lineRule="auto"/>
            </w:pPr>
            <w:r>
              <w:rPr/>
              <w:t xml:space="preserve">) queried against zero real provider evidence — the small local model answered from its own pretrained knowledge instead of refusing.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Redis, Neo4j, and OpenSearch were all published on </w:t>
            </w:r>
          </w:p>
          <w:p>
            <w:pPr>
              <w:spacing w:lineRule="auto"/>
            </w:pPr>
            <w:r>
              <w:rPr>
                <w:highlight w:val="lightGray"/>
              </w:rPr>
              <w:t xml:space="preserve">0.0.0.0</w:t>
            </w:r>
          </w:p>
          <w:p>
            <w:pPr>
              <w:spacing w:lineRule="auto"/>
            </w:pPr>
            <w:r>
              <w:rPr/>
              <w:t xml:space="preserve"> (every network interface), reachable unauthenticated from another device on the same LAN — confirmed live via the machine's real LAN IP. OpenSearch had no authentication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integrity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client disconnect mid-investigation (simulated via </w:t>
            </w:r>
          </w:p>
          <w:p>
            <w:pPr>
              <w:spacing w:lineRule="auto"/>
            </w:pPr>
            <w:r>
              <w:rPr>
                <w:highlight w:val="lightGray"/>
              </w:rPr>
              <w:t xml:space="preserve">curl --max-time 3</w:t>
            </w:r>
          </w:p>
          <w:p>
            <w:pPr>
              <w:spacing w:lineRule="auto"/>
            </w:pPr>
            <w:r>
              <w:rPr/>
              <w:t xml:space="preserve">) silently discarded all already-fetched provider results from the database, even though six providers (including a live Spamhaus hit) had already completed and been streamed to the client.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Recovery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"Open Platform" shortcut was a bare </w:t>
            </w:r>
          </w:p>
          <w:p>
            <w:pPr>
              <w:spacing w:lineRule="auto"/>
            </w:pPr>
            <w:r>
              <w:rPr>
                <w:highlight w:val="lightGray"/>
              </w:rPr>
              <w:t xml:space="preserve">.url</w:t>
            </w:r>
          </w:p>
          <w:p>
            <w:pPr>
              <w:spacing w:lineRule="auto"/>
            </w:pPr>
            <w:r>
              <w:rPr/>
              <w:t xml:space="preserve"> file with no check for whether Docker/containers were running, no auto-start, no health wait — directly failing the requirement that the shortcut verify services, start if needed, and open the browser automatically. Caught by the real post-reboot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in fix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launcher's own fix checked whether the platform was configured (via </w:t>
            </w:r>
          </w:p>
          <w:p>
            <w:pPr>
              <w:spacing w:lineRule="auto"/>
            </w:pPr>
            <w:r>
              <w:rPr>
                <w:highlight w:val="lightGray"/>
              </w:rPr>
              <w:t xml:space="preserve">Test-Path</w:t>
            </w:r>
          </w:p>
          <w:p>
            <w:pPr>
              <w:spacing w:lineRule="auto"/>
            </w:pPr>
            <w:r>
              <w:rPr/>
              <w:t xml:space="preserve"> on an ACL-locked </w:t>
            </w:r>
          </w:p>
          <w:p>
            <w:pPr>
              <w:spacing w:lineRule="auto"/>
            </w:pPr>
            <w:r>
              <w:rPr>
                <w:highlight w:val="lightGray"/>
              </w:rPr>
              <w:t xml:space="preserve">.env</w:t>
            </w:r>
          </w:p>
          <w:p>
            <w:pPr>
              <w:spacing w:lineRule="auto"/>
            </w:pPr>
            <w:r>
              <w:rPr/>
              <w:t xml:space="preserve"> file) </w:t>
            </w:r>
          </w:p>
          <w:p>
            <w:pPr>
              <w:spacing w:lineRule="auto"/>
            </w:pPr>
            <w:r>
              <w:rPr/>
              <w:t xml:space="preserve">before</w:t>
            </w:r>
          </w:p>
          <w:p>
            <w:pPr>
              <w:spacing w:lineRule="auto"/>
            </w:pPr>
            <w:r>
              <w:rPr/>
              <w:t xml:space="preserve"> elevating privileges, which threw an access-denied error that read as "not configured" for an already-fully-configured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correctness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evidence_ids</w:t>
            </w:r>
          </w:p>
          <w:p>
            <w:pPr>
              <w:spacing w:lineRule="auto"/>
            </w:pPr>
            <w:r>
              <w:rPr/>
              <w:t xml:space="preserve">, </w:t>
            </w:r>
          </w:p>
          <w:p>
            <w:pPr>
              <w:spacing w:lineRule="auto"/>
            </w:pPr>
            <w:r>
              <w:rPr>
                <w:highlight w:val="lightGray"/>
              </w:rPr>
              <w:t xml:space="preserve">agreeing_providers</w:t>
            </w:r>
          </w:p>
          <w:p>
            <w:pPr>
              <w:spacing w:lineRule="auto"/>
            </w:pPr>
            <w:r>
              <w:rPr/>
              <w:t xml:space="preserve">, and </w:t>
            </w:r>
          </w:p>
          <w:p>
            <w:pPr>
              <w:spacing w:lineRule="auto"/>
            </w:pPr>
            <w:r>
              <w:rPr>
                <w:highlight w:val="lightGray"/>
              </w:rPr>
              <w:t xml:space="preserve">disagreeing_providers</w:t>
            </w:r>
          </w:p>
          <w:p>
            <w:pPr>
              <w:spacing w:lineRule="auto"/>
            </w:pPr>
            <w:r>
              <w:rPr/>
              <w:t xml:space="preserve"> structured fields came back empty even when the AI's own prose cited a specific evidence ID or named a specific provider — because some schema fields lacked field descriptions, and the grounding filter only recognized providers that produced a correlation-graph edge (excluding the OSINT crawler provider, </w:t>
            </w:r>
          </w:p>
          <w:p>
            <w:pPr>
              <w:spacing w:lineRule="auto"/>
            </w:pPr>
            <w:r>
              <w:rPr>
                <w:highlight w:val="lightGray"/>
              </w:rPr>
              <w:t xml:space="preserve">internet_intelligence</w:t>
            </w:r>
          </w:p>
          <w:p>
            <w:pPr>
              <w:spacing w:lineRule="auto"/>
            </w:pPr>
            <w:r>
              <w:rPr/>
              <w:t xml:space="preserve">, which does neither).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correctness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provider's raw </w:t>
            </w:r>
          </w:p>
          <w:p>
            <w:pPr>
              <w:spacing w:lineRule="auto"/>
            </w:pPr>
            <w:r>
              <w:rPr>
                <w:highlight w:val="lightGray"/>
              </w:rPr>
              <w:t xml:space="preserve">"listed": false</w:t>
            </w:r>
          </w:p>
          <w:p>
            <w:pPr>
              <w:spacing w:lineRule="auto"/>
            </w:pPr>
            <w:r>
              <w:rPr/>
              <w:t xml:space="preserve"> boolean field was misread by the AI summarization step as "the IOC </w:t>
            </w:r>
          </w:p>
          <w:p>
            <w:pPr>
              <w:spacing w:lineRule="auto"/>
            </w:pPr>
            <w:r>
              <w:rPr>
                <w:b/>
              </w:rPr>
              <w:t xml:space="preserve">is</w:t>
            </w:r>
          </w:p>
          <w:p>
            <w:pPr>
              <w:spacing w:lineRule="auto"/>
            </w:pPr>
            <w:r>
              <w:rPr/>
              <w:t xml:space="preserve"> listed," inverting a clean result into a false "has been blocked" claim.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docker-compose.yml</w:t>
            </w:r>
          </w:p>
          <w:p>
            <w:pPr>
              <w:spacing w:lineRule="auto"/>
            </w:pPr>
            <w:r>
              <w:rPr/>
              <w:t xml:space="preserve"> hardcoded </w:t>
            </w:r>
          </w:p>
          <w:p>
            <w:pPr>
              <w:spacing w:lineRule="auto"/>
            </w:pPr>
            <w:r>
              <w:rPr>
                <w:highlight w:val="lightGray"/>
              </w:rPr>
              <w:t xml:space="preserve">OLLAMA_BASE_URL</w:t>
            </w:r>
          </w:p>
          <w:p>
            <w:pPr>
              <w:spacing w:lineRule="auto"/>
            </w:pPr>
            <w:r>
              <w:rPr/>
              <w:t xml:space="preserve"> in the </w:t>
            </w:r>
          </w:p>
          <w:p>
            <w:pPr>
              <w:spacing w:lineRule="auto"/>
            </w:pPr>
            <w:r>
              <w:rPr>
                <w:highlight w:val="lightGray"/>
              </w:rPr>
              <w:t xml:space="preserve">environment:</w:t>
            </w:r>
          </w:p>
          <w:p>
            <w:pPr>
              <w:spacing w:lineRule="auto"/>
            </w:pPr>
            <w:r>
              <w:rPr/>
              <w:t xml:space="preserve"> block, which always overrides </w:t>
            </w:r>
          </w:p>
          <w:p>
            <w:pPr>
              <w:spacing w:lineRule="auto"/>
            </w:pPr>
            <w:r>
              <w:rPr>
                <w:highlight w:val="lightGray"/>
              </w:rPr>
              <w:t xml:space="preserve">env_file:</w:t>
            </w:r>
          </w:p>
          <w:p>
            <w:pPr>
              <w:spacing w:lineRule="auto"/>
            </w:pPr>
            <w:r>
              <w:rPr/>
              <w:t xml:space="preserve">, so the setup wizard's AI Configuration page could write the correct value to </w:t>
            </w:r>
          </w:p>
          <w:p>
            <w:pPr>
              <w:spacing w:lineRule="auto"/>
            </w:pPr>
            <w:r>
              <w:rPr>
                <w:highlight w:val="lightGray"/>
              </w:rPr>
              <w:t xml:space="preserve">.env</w:t>
            </w:r>
          </w:p>
          <w:p>
            <w:pPr>
              <w:spacing w:lineRule="auto"/>
            </w:pPr>
            <w:r>
              <w:rPr/>
              <w:t xml:space="preserve"> but the platform would never actually use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Data/feature gap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/api/v1/lookup/{id}</w:t>
            </w:r>
          </w:p>
          <w:p>
            <w:pPr>
              <w:spacing w:lineRule="auto"/>
            </w:pPr>
            <w:r>
              <w:rPr/>
              <w:t xml:space="preserve"> never returned the persisted relationship-graph data, so revisiting a completed investigation always showed an empty graph even though </w:t>
            </w:r>
          </w:p>
          <w:p>
            <w:pPr>
              <w:spacing w:lineRule="auto"/>
            </w:pPr>
            <w:r>
              <w:rPr>
                <w:highlight w:val="lightGray"/>
              </w:rPr>
              <w:t xml:space="preserve">CorrelationEdgeRecord</w:t>
            </w:r>
          </w:p>
          <w:p>
            <w:pPr>
              <w:spacing w:lineRule="auto"/>
            </w:pPr>
            <w:r>
              <w:rPr/>
              <w:t xml:space="preserve"> rows existed in Postgres.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Five WinForms label-overlap/text-clipping bugs across the Administrator Account, AI Configuration, Threat Intelligence Providers, and Network Ports wizard pages.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account-creation failure path dumped a raw FastAPI/Pydantic validation-error JSON blob into the user-facing log and unconditionally printed "Setup complete." even when the admin account was never created.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Cosmetic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Routine </w:t>
            </w:r>
          </w:p>
          <w:p>
            <w:pPr>
              <w:spacing w:lineRule="auto"/>
            </w:pPr>
            <w:r>
              <w:rPr>
                <w:highlight w:val="lightGray"/>
              </w:rPr>
              <w:t xml:space="preserve">docker compose</w:t>
            </w:r>
          </w:p>
          <w:p>
            <w:pPr>
              <w:spacing w:lineRule="auto"/>
            </w:pPr>
            <w:r>
              <w:rPr/>
              <w:t xml:space="preserve"> stderr progress output was rendered as a fake red "NativeCommandError" on every Start/Stop/Restart, even on full success.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Branding accuracy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landing page hardcoded "Claude" as the AI backend name regardless of which backend was actually configured.</w:t>
            </w:r>
          </w:p>
        </w:tc>
      </w:tr>
    </w:tbl>
    <w:p>
      <w:pPr>
        <w:spacing w:lineRule="auto"/>
      </w:pPr>
      <w:r>
        <w:rPr/>
      </w:r>
    </w:p>
    <w:p>
      <w:pPr>
        <w:spacing w:lineRule="auto"/>
      </w:pPr>
      <w:r>
        <w:rPr/>
        <w:t xml:space="preserve">Bugs #1–12 (including 4b) were all root-caused, fixed, covered by a regression test where the fix was in backend Python code, rebuilt into a real running instance, and re-verified live against the actual product. Per the QA report, the regression tests added for these fixes brought the backend unit-test suite to </w:t>
      </w:r>
      <w:r>
        <w:rPr>
          <w:b/>
        </w:rPr>
        <w:t xml:space="preserve">128/128 passing</w:t>
      </w:r>
      <w:r>
        <w:rPr/>
        <w:t xml:space="preserve"> at the time of that pass, plus the targeted stream-persistence integration tests — a count reported by the QA pass itself, distinct from (and not necessarily contemporaneous with) the 13-file/3-file source-inspection counts in Section 1 above. One named regression test is called out specifically: </w:t>
      </w:r>
      <w:r>
        <w:rPr/>
        <w:t xml:space="preserve">test_completed_lookup_returns_rebuilt_correlation_graph</w:t>
      </w:r>
      <w:r>
        <w:rPr/>
        <w:t xml:space="preserve">, added for bug #8.</w:t>
      </w:r>
    </w:p>
    <w:p>
      <w:pPr>
        <w:pStyle w:val="Heading3"/>
        <w:spacing w:lineRule="auto"/>
      </w:pPr>
      <w:r>
        <w:rPr/>
        <w:t xml:space="preserve">2.3 Findings Documented but Not Fixed (Not Blocking Release)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detection-rule-generation call mapped MITRE ATT&amp;CK technique </w:t>
            </w:r>
          </w:p>
          <w:p>
            <w:pPr>
              <w:spacing w:lineRule="auto"/>
            </w:pPr>
            <w:r>
              <w:rPr>
                <w:highlight w:val="lightGray"/>
              </w:rPr>
              <w:t xml:space="preserve">T1053</w:t>
            </w:r>
          </w:p>
          <w:p>
            <w:pPr>
              <w:spacing w:lineRule="auto"/>
            </w:pPr>
            <w:r>
              <w:rPr/>
              <w:t xml:space="preserve"> to "Create a Backdoor"; the real T1053 is "Scheduled Task/Job." Documented as a limitation of the bundled small local model (</w:t>
            </w:r>
          </w:p>
          <w:p>
            <w:pPr>
              <w:spacing w:lineRule="auto"/>
            </w:pPr>
            <w:r>
              <w:rPr>
                <w:highlight w:val="lightGray"/>
              </w:rPr>
              <w:t xml:space="preserve">llama3.2:3b</w:t>
            </w:r>
          </w:p>
          <w:p>
            <w:pPr>
              <w:spacing w:lineRule="auto"/>
            </w:pPr>
            <w:r>
              <w:rPr/>
              <w:t xml:space="preserve">),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OSINT crawler provider occasionally surfaces keyword-matched but semantically unrelated content, and the AI summarization step sometimes repeated it as if it were a specific finding. Confidence/verdict fields stayed appropriately cautious in every case observed; judged a data-quality/polish issue rather than a safety-relevant fabrication.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 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generation does not exist (backend field is permanently empty, no frontend UI). PDF and CSV export are wired to a backend export endpoint that returns a genuine 404; the frontend shows a graceful "not yet available" message rather than crashing (JSON and Markdown export do work end-to-end). Timeline does not exist anywhere in the codebase. All three are unbuilt features, not defects.</w:t>
            </w:r>
          </w:p>
        </w:tc>
      </w:tr>
    </w:tbl>
    <w:p>
      <w:pPr>
        <w:spacing w:lineRule="auto"/>
      </w:pPr>
      <w:r>
        <w:rPr/>
      </w:r>
    </w:p>
    <w:p>
      <w:pPr>
        <w:pStyle w:val="Heading3"/>
        <w:spacing w:lineRule="auto"/>
      </w:pPr>
      <w:r>
        <w:rPr/>
        <w:t xml:space="preserve">2.4 Failure-Recovery Testing</w:t>
      </w:r>
    </w:p>
    <w:p>
      <w:pPr>
        <w:spacing w:lineRule="auto"/>
      </w:pPr>
      <w:r>
        <w:rPr/>
        <w:t xml:space="preserve">Beyond the bug list, the QA pass deliberately injected failures and confirmed recovery:</w:t>
      </w:r>
    </w:p>
    <w:p>
      <w:pPr>
        <w:numPr>
          <w:ilvl w:val="0"/>
          <w:numId w:val="53"/>
        </w:numPr>
        <w:spacing w:lineRule="auto"/>
      </w:pPr>
      <w:r>
        <w:rPr>
          <w:b/>
        </w:rPr>
        <w:t xml:space="preserve">AI backend down</w:t>
      </w:r>
      <w:r>
        <w:rPr/>
        <w:t xml:space="preserve">: Ollama made genuinely unreachable (bad </w:t>
      </w:r>
      <w:r>
        <w:rPr/>
        <w:t xml:space="preserve">OLLAMA_BASE_URL</w:t>
      </w:r>
      <w:r>
        <w:rPr/>
        <w:t xml:space="preserve">, confirmed via </w:t>
      </w:r>
      <w:r>
        <w:rPr/>
        <w:t xml:space="preserve">docker exec ... printenv</w:t>
      </w:r>
      <w:r>
        <w:rPr/>
        <w:t xml:space="preserve">). Provider data stayed intact; AI-dependent fields honestly reported the failure (</w:t>
      </w:r>
      <w:r>
        <w:rPr/>
        <w:t xml:space="preserve">final_verdict: "unknown"</w:t>
      </w:r>
      <w:r>
        <w:rPr/>
        <w:t xml:space="preserve">, risk scores zeroed) rather than pretending to succeed. Reverting restored full functionality with no other intervention.</w:t>
      </w:r>
    </w:p>
    <w:p>
      <w:pPr>
        <w:numPr>
          <w:ilvl w:val="0"/>
          <w:numId w:val="53"/>
        </w:numPr>
        <w:spacing w:lineRule="auto"/>
      </w:pPr>
      <w:r>
        <w:rPr>
          <w:b/>
        </w:rPr>
        <w:t xml:space="preserve">Database down</w:t>
      </w:r>
      <w:r>
        <w:rPr/>
        <w:t xml:space="preserve">: stopping the Postgres container mid-request produced a real, fully logged HTTP 500 (not a silent failure or corruption); restarting Postgres restored functionality with prior data intact.</w:t>
      </w:r>
    </w:p>
    <w:p>
      <w:pPr>
        <w:numPr>
          <w:ilvl w:val="0"/>
          <w:numId w:val="53"/>
        </w:numPr>
        <w:spacing w:lineRule="auto"/>
      </w:pPr>
      <w:r>
        <w:rPr>
          <w:b/>
        </w:rPr>
        <w:t xml:space="preserve">Bulk workflow</w:t>
      </w:r>
      <w:r>
        <w:rPr/>
        <w:t xml:space="preserve">: eight IOCs processed sequentially (mixed types, one duplicate, one malformed value). The malformed entry was cleanly rejected with HTTP 422; the duplicate correctly created an independent investigation record (investigations are not deduplicated by design) while still benefiting from provider-level caching.</w:t>
      </w:r>
    </w:p>
    <w:p>
      <w:pPr>
        <w:numPr>
          <w:ilvl w:val="0"/>
          <w:numId w:val="53"/>
        </w:numPr>
        <w:spacing w:lineRule="auto"/>
      </w:pPr>
      <w:r>
        <w:rPr>
          <w:b/>
        </w:rPr>
        <w:t xml:space="preserve">Real Windows reboot</w:t>
      </w:r>
      <w:r>
        <w:rPr/>
        <w:t xml:space="preserve">: a genuine </w:t>
      </w:r>
      <w:r>
        <w:rPr/>
        <w:t xml:space="preserve">Restart-Computer</w:t>
      </w:r>
      <w:r>
        <w:rPr/>
        <w:t xml:space="preserve"> was executed (with user approval) on the tester's own workstation; post-reboot, login, prior case/watchlist data, and a brand-new investigation all worked without any manual component restarts — this is the scenario that surfaced bugs #4 and #4b above.</w:t>
      </w:r>
    </w:p>
    <w:p>
      <w:pPr>
        <w:numPr>
          <w:ilvl w:val="0"/>
          <w:numId w:val="53"/>
        </w:numPr>
        <w:spacing w:lineRule="auto"/>
      </w:pPr>
      <w:r>
        <w:rPr>
          <w:b/>
        </w:rPr>
        <w:t xml:space="preserve">Uninstall/reinstall</w:t>
      </w:r>
      <w:r>
        <w:rPr/>
        <w:t xml:space="preserve">: both the keep-data and "Remove Everything" (</w:t>
      </w:r>
      <w:r>
        <w:rPr/>
        <w:t xml:space="preserve">docker compose down -v</w:t>
      </w:r>
      <w:r>
        <w:rPr/>
        <w:t xml:space="preserve">) uninstall paths, plus a reinstall and a fully independent final clean install, were each verified against real data (existing cases, watchlist entries, admin login all confirmed intact where expected).</w:t>
      </w:r>
    </w:p>
    <w:p>
      <w:pPr>
        <w:pStyle w:val="Heading3"/>
        <w:spacing w:lineRule="auto"/>
      </w:pPr>
      <w:r>
        <w:rPr/>
        <w:t xml:space="preserve">2.5 Performance Observations (as measured in that pass)</w:t>
      </w:r>
    </w:p>
    <w:p>
      <w:pPr>
        <w:spacing w:lineRule="auto"/>
      </w:pPr>
      <w:r>
        <w:rPr/>
        <w:t xml:space="preserve">Idle-baseline container memory was recorded as: backend ~96 MB, frontend ~39 MB, celery_worker ~695 MB, postgres ~38 MB, redis ~5 MB, neo4j ~553 MB, opensearch ~1.07 GB, all containers under 1% CPU at rest. After an eight-IOC bulk run, backend memory grew to ~104 MB (attributed to normal request handling, not a leak) and settled; no other container changed. A typical single-IOC investigation completed in 5–15 seconds end-to-end, with the OSINT crawler's multi-source fan-out consistently the slowest single component (~6 seconds). These are the specific figures reported by that one QA pass on that one machine, not a benchmark suite, and are not restated as general performance guarantees.</w:t>
      </w:r>
    </w:p>
    <w:p>
      <w:pPr>
        <w:pStyle w:val="Heading3"/>
        <w:spacing w:lineRule="auto"/>
      </w:pPr>
      <w:r>
        <w:rPr/>
        <w:t xml:space="preserve">2.6 Live End-to-End Verification of the API-Key / AI-Backend Fix</w:t>
      </w:r>
    </w:p>
    <w:p>
      <w:pPr>
        <w:spacing w:lineRule="auto"/>
      </w:pPr>
      <w:r>
        <w:rPr/>
        <w:t xml:space="preserve">Beyond the automated regression tests in Section 1.4, the same fix was also verified live against the real running product, start to finish: a full uninstall, a wipe of the database and Docker volumes, a fresh install, a complete run through the setup wizard, a fresh administrator-account bootstrap, and a live IOC investigation all passed. A genuine container-restart persistence test was performed separately: after a real container restart, admin login and all prior investigation records were confirmed to have survived intact. Finally, a live side-by-side comparison ran one identical IOC through both the Ollama and Groq AI backends to compare the quality of each backend's AI-generated output against identical underlying provider evidence. As with the rest of Section 2, these are the results observed in that specific verification pass, not a repeatable benchmark.</w:t>
      </w:r>
    </w:p>
    <w:p>
      <w:pPr>
        <w:pStyle w:val="Heading2"/>
        <w:spacing w:lineRule="auto"/>
      </w:pPr>
      <w:r>
        <w:rPr/>
        <w:t xml:space="preserve">3. What This Means Together</w:t>
      </w:r>
    </w:p>
    <w:p>
      <w:pPr>
        <w:spacing w:lineRule="auto"/>
      </w:pPr>
      <w:r>
        <w:rPr/>
        <w:t xml:space="preserve">The two bodies of evidence answer different questions and should not be conflated: Section 1 shows that the codebase has a real, if partial, automated regression safety net on the backend (13 unit-test files, 3 integration-test files exercising the orchestrator against fake providers plus real Redis) and none yet on the frontend. Section 2 shows that, independent of those automated tests, a full manual lifecycle pass against the actual shipped installer found and fixed 12 real defects — including one severe AI-safety issue (evidence-free fabrication of a malicious verdict) and one severe security issue (unauthenticated datastores reachable from the LAN) — and reached a "ready for release" verdict with two remaining categories of known, documented, non-blocking gaps: small-model AI-quality quirks, and three genuinely unbuilt features (Report generation, PDF/CSV export, Timeline).</w:t>
      </w:r>
    </w:p>
    <w:p>
      <w:r>
        <w:br w:type="page"/>
      </w:r>
    </w:p>
    <w:p>
      <w:pPr>
        <w:pStyle w:val="Heading1"/>
        <w:spacing w:lineRule="auto"/>
      </w:pPr>
      <w:r>
        <w:rPr/>
        <w:t xml:space="preserve">Performance</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queried for a given IOC. A lookup runs over </w:t>
      </w:r>
      <w:r>
        <w:rPr>
          <w:b/>
        </w:rPr>
        <w:t xml:space="preserve">SSE</w:t>
      </w:r>
      <w:r>
        <w:rPr/>
        <w:t xml:space="preserve"> (Server-Sent Events) — a single streamed HTTP response that pushes result events to the client as they become available, rather than one request/response per step.</w:t>
      </w:r>
    </w:p>
    <w:p>
      <w:pPr>
        <w:spacing w:lineRule="auto"/>
      </w:pPr>
      <w:r>
        <w:rPr/>
        <w:t xml:space="preserve">This section reports two different kinds of number, and is explicit about which is which: (1) values actually observed during the one documented end-to-end QA pass (</w:t>
      </w:r>
      <w:r>
        <w:rPr/>
        <w:t xml:space="preserve">FINAL_END_TO_END_TEST_REPORT.md</w:t>
      </w:r>
      <w:r>
        <w:rPr/>
        <w:t xml:space="preserve">, run 2026-08-11 on a single Windows 11 workstation), and (2) hard-configured limits read directly from the backend code, which bound worst-case behavior even though no live measurement of hitting those limits exists. With one exception — the Executive Dashboard / Provider Health endpoint load test described later in this section — no dedicated load-testing, benchmarking, or repeated-trial statistical harness exists for this platform as of this writing; the rest of the QA pass was a single functional/regression walkthrough (clean install through uninstall/reinstall), not a performance study.</w:t>
      </w:r>
    </w:p>
    <w:p>
      <w:pPr>
        <w:pStyle w:val="Heading2"/>
        <w:spacing w:lineRule="auto"/>
      </w:pPr>
      <w:r>
        <w:rPr/>
        <w:t xml:space="preserve">Scope and Methodology</w:t>
      </w:r>
    </w:p>
    <w:p>
      <w:pPr>
        <w:numPr>
          <w:ilvl w:val="0"/>
          <w:numId w:val="54"/>
        </w:numPr>
        <w:spacing w:lineRule="auto"/>
      </w:pPr>
      <w:r>
        <w:rPr/>
        <w:t xml:space="preserve">The only performance data available comes from </w:t>
      </w:r>
      <w:r>
        <w:rPr>
          <w:b/>
        </w:rPr>
        <w:t xml:space="preserve">one</w:t>
      </w:r>
      <w:r>
        <w:rPr/>
        <w:t xml:space="preserve"> test pass on </w:t>
      </w:r>
      <w:r>
        <w:rPr>
          <w:b/>
        </w:rPr>
        <w:t xml:space="preserve">one</w:t>
      </w:r>
      <w:r>
        <w:rPr/>
        <w:t xml:space="preserve"> machine, observed manually, not from an automated benchmark suite or multiple repeated trials.</w:t>
      </w:r>
    </w:p>
    <w:p>
      <w:pPr>
        <w:numPr>
          <w:ilvl w:val="0"/>
          <w:numId w:val="54"/>
        </w:numPr>
        <w:spacing w:lineRule="auto"/>
      </w:pPr>
      <w:r>
        <w:rPr/>
        <w:t xml:space="preserve">The bulk-load exercise referenced below was </w:t>
      </w:r>
      <w:r>
        <w:rPr>
          <w:b/>
        </w:rPr>
        <w:t xml:space="preserve">eight</w:t>
      </w:r>
      <w:r>
        <w:rPr/>
        <w:t xml:space="preserve"> sequential IOC lookups, not a stress test — it was designed to check for resource leaks during a routine batch, not to find a breaking point or measure throughput.</w:t>
      </w:r>
    </w:p>
    <w:p>
      <w:pPr>
        <w:numPr>
          <w:ilvl w:val="0"/>
          <w:numId w:val="54"/>
        </w:numPr>
        <w:spacing w:lineRule="auto"/>
      </w:pPr>
      <w:r>
        <w:rPr/>
        <w:t xml:space="preserve">Where the two source documents do not contain a number for something a reader would reasonably want to know (e.g., percentile latencies, throughput, total install duration), the table below says "Not measured" rather than supplying an estimate.</w:t>
      </w:r>
    </w:p>
    <w:p>
      <w:pPr>
        <w:pStyle w:val="Heading2"/>
        <w:spacing w:lineRule="auto"/>
      </w:pPr>
      <w:r>
        <w:rPr/>
        <w:t xml:space="preserve">Measured and Configured Values</w:t>
      </w:r>
    </w:p>
    <w:p>
      <w:pPr>
        <w:spacing w:lineRule="auto"/>
      </w:pPr>
      <w:r>
        <w:rPr/>
        <w:t xml:space="preserve">Every row below is either a number actually observed during the single documented test pass or a hard-configured limit found in the code; rows for commonly-expected performance metrics that neither source actually measured (percentile latency, throughput, install duration) are marked "Not measured" rather than estimated.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Single-IOC investigation duration, end-to-end (SSE stream open to </w:t>
            </w:r>
          </w:p>
          <w:p>
            <w:pPr>
              <w:spacing w:lineRule="auto"/>
            </w:pPr>
            <w:r>
              <w:rPr>
                <w:highlight w:val="lightGray"/>
              </w:rPr>
              <w:t xml:space="preserve">done</w:t>
            </w:r>
          </w:p>
          <w:p>
            <w:pPr>
              <w:spacing w:lineRule="auto"/>
            </w:pPr>
            <w:r>
              <w:rPr/>
              <w:t xml:space="preserv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5–15 seconds, varying by which providers make real network calls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(one test pass)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crawler (</w:t>
            </w:r>
          </w:p>
          <w:p>
            <w:pPr>
              <w:spacing w:lineRule="auto"/>
            </w:pPr>
            <w:r>
              <w:rPr>
                <w:highlight w:val="lightGray"/>
              </w:rPr>
              <w:t xml:space="preserve">internet_intelligence</w:t>
            </w:r>
          </w:p>
          <w:p>
            <w:pPr>
              <w:spacing w:lineRule="auto"/>
            </w:pPr>
            <w:r>
              <w:rPr/>
              <w:t xml:space="preserve"> provider) fan-out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seconds — consistently the slowest single component observed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(one test pass)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p50 / p95 / p99 lookup latency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Throughput (concurrent lookups per second/minute)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container idle memory (RSS)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~96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~39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~695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~38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~553 MB (provisioned container with no consuming backend code — see architecture-facts.md §2/§5/§9)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~1.07 GB (provisioned container with no consuming backend code — see architecture-facts.md §2/§5/§9)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CPU utilization across all eight containers at idle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memory after an 8-IOC sequential bulk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~104 MB (~9% increase over idle baseline; the tester attributed this to normal request handling, not a leak)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Leak/stability check across the bulk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memory-leak pattern, no CPU pegged at 100%, no zombie processes observed (qualitative, one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§12/§11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Installer/wizard total wall-clock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health-check poll ceiling after </w:t>
            </w:r>
          </w:p>
          <w:p>
            <w:pPr>
              <w:spacing w:lineRule="auto"/>
            </w:pPr>
            <w:r>
              <w:rPr>
                <w:highlight w:val="lightGray"/>
              </w:rPr>
              <w:t xml:space="preserve">docker compose up -d --build</w:t>
            </w:r>
          </w:p>
          <w:p>
            <w:pPr>
              <w:spacing w:lineRule="auto"/>
            </w:pPr>
            <w:r>
              <w:rPr/>
              <w:t xml:space="preserve"> (before admin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3 minutes (a ceiling the wizard will wait, not an observed typical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 launcher: Docker Desktop cold-start wait ceiling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3 minutes (a ceiling the launcher will wait, not an observed typical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Post-reboot interactive Windows logon delay observed during the one real-reboot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 minutes after boot completed (an OS-level startup-throttling effect on the test workstation, not a product behavior — noted because the launcher has to tolerate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(single observation, environmental)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call timeout (</w:t>
            </w:r>
          </w:p>
          <w:p>
            <w:pPr>
              <w:spacing w:lineRule="auto"/>
            </w:pPr>
            <w:r>
              <w:rPr>
                <w:highlight w:val="lightGray"/>
              </w:rPr>
              <w:t xml:space="preserve">provider_timeout_seconds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retry policy (</w:t>
            </w:r>
          </w:p>
          <w:p>
            <w:pPr>
              <w:spacing w:lineRule="auto"/>
            </w:pPr>
            <w:r>
              <w:rPr>
                <w:highlight w:val="lightGray"/>
              </w:rPr>
              <w:t xml:space="preserve">provider_max_retries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retries, exponential backoff (</w:t>
            </w:r>
          </w:p>
          <w:p>
            <w:pPr>
              <w:spacing w:lineRule="auto"/>
            </w:pPr>
            <w:r>
              <w:rPr>
                <w:highlight w:val="lightGray"/>
              </w:rPr>
              <w:t xml:space="preserve">wait_exponential(multiplier=0.5, max=4)</w:t>
            </w:r>
          </w:p>
          <w:p>
            <w:pPr>
              <w:spacing w:lineRule="auto"/>
            </w:pPr>
            <w:r>
              <w:rPr/>
              <w:t xml:space="preserve">, via 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TTL (</w:t>
            </w:r>
          </w:p>
          <w:p>
            <w:pPr>
              <w:spacing w:lineRule="auto"/>
            </w:pPr>
            <w:r>
              <w:rPr>
                <w:highlight w:val="lightGray"/>
              </w:rPr>
              <w:t xml:space="preserve">provider_cache_ttl_seconds</w:t>
            </w:r>
          </w:p>
          <w:p>
            <w:pPr>
              <w:spacing w:lineRule="auto"/>
            </w:pPr>
            <w:r>
              <w:rPr/>
              <w:t xml:space="preserve">), Redis-backed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AI-backend client timeout, Ollama (</w:t>
            </w:r>
          </w:p>
          <w:p>
            <w:pPr>
              <w:spacing w:lineRule="auto"/>
            </w:pPr>
            <w:r>
              <w:rPr>
                <w:highlight w:val="lightGray"/>
              </w:rPr>
              <w:t xml:space="preserve">_TIMEOUT_SECONDS</w:t>
            </w:r>
          </w:p>
          <w:p>
            <w:pPr>
              <w:spacing w:lineRule="auto"/>
            </w:pPr>
            <w:r>
              <w:rPr/>
              <w:t xml:space="preserve">) — applies only when </w:t>
            </w:r>
          </w:p>
          <w:p>
            <w:pPr>
              <w:spacing w:lineRule="auto"/>
            </w:pPr>
            <w:r>
              <w:rPr>
                <w:highlight w:val="lightGray"/>
              </w:rPr>
              <w:t xml:space="preserve">ai_backend=ollama</w:t>
            </w:r>
          </w:p>
          <w:p>
            <w:pPr>
              <w:spacing w:lineRule="auto"/>
            </w:pPr>
            <w:r>
              <w:rPr/>
              <w:t xml:space="preserve"> (the default); no equivalent hardcoded value is documented for the Anthropic/Bedrock/Gemini clients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120 seconds, hardcoded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Lookup-creation rate limit, Redis fixed-window, per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 calls / 60 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§2/§9</w:t>
            </w:r>
          </w:p>
        </w:tc>
      </w:tr>
    </w:tbl>
    <w:p>
      <w:pPr>
        <w:spacing w:lineRule="auto"/>
      </w:pPr>
      <w:r>
        <w:rPr/>
      </w:r>
    </w:p>
    <w:p>
      <w:pPr>
        <w:pStyle w:val="Heading2"/>
        <w:spacing w:lineRule="auto"/>
      </w:pPr>
      <w:r>
        <w:rPr/>
        <w:t xml:space="preserve">Where These Limits Apply in the Lookup Pipeline</w:t>
      </w:r>
    </w:p>
    <w:p>
      <w:pPr>
        <w:spacing w:lineRule="auto"/>
      </w:pPr>
      <w:r>
        <w:rPr/>
        <w:drawing>
          <wp:inline distB="0" distL="0" distR="0" distT="0">
            <wp:extent cx="4781550" cy="21021675"/>
            <wp:effectExtent b="0" l="0" r="0" t="0"/>
            <wp:docPr id="150" name="image-c4TUWbkouN8y4HCz2XmUf.png"/>
            <a:graphic>
              <a:graphicData uri="http://schemas.openxmlformats.org/drawingml/2006/picture">
                <pic:pic>
                  <pic:nvPicPr>
                    <pic:cNvPr id="150" name="image-c4TUWbkouN8y4HCz2XmUf.png" descr="Figure 75"/>
                    <pic:cNvPicPr/>
                  </pic:nvPicPr>
                  <pic:blipFill>
                    <a:blip r:embed="rId155" cstate="print"/>
                    <a:srcRect b="0" l="0" r="0" t="0"/>
                    <a:stretch>
                      <a:fillRect/>
                    </a:stretch>
                  </pic:blipFill>
                  <pic:spPr>
                    <a:xfrm>
                      <a:off x="0" y="0"/>
                      <a:ext cx="4781550" cy="21021675"/>
                    </a:xfrm>
                    <a:prstGeom prst="rect"/>
                  </pic:spPr>
                </pic:pic>
              </a:graphicData>
            </a:graphic>
          </wp:inline>
        </w:drawing>
      </w:r>
    </w:p>
    <w:p>
      <w:pPr>
        <w:pStyle w:val="Heading2"/>
        <w:spacing w:lineRule="auto"/>
      </w:pPr>
      <w:r>
        <w:rPr/>
        <w:t xml:space="preserve">Dashboard and Provider Health Endpoint Load Testing</w:t>
      </w:r>
    </w:p>
    <w:p>
      <w:pPr>
        <w:spacing w:lineRule="auto"/>
      </w:pPr>
      <w:r>
        <w:rPr/>
        <w:t xml:space="preserve">Unlike the rest of this section, the Executive Dashboard (</w:t>
      </w:r>
      <w:r>
        <w:rPr/>
        <w:t xml:space="preserve">GET /api/v1/dashboard/kpis</w:t>
      </w:r>
      <w:r>
        <w:rPr/>
        <w:t xml:space="preserve">, </w:t>
      </w:r>
      <w:r>
        <w:rPr/>
        <w:t xml:space="preserve">GET /api/v1/dashboard/executive-summary</w:t>
      </w:r>
      <w:r>
        <w:rPr/>
        <w:t xml:space="preserve">) and Provider Health (</w:t>
      </w:r>
      <w:r>
        <w:rPr/>
        <w:t xml:space="preserve">GET /api/v1/providers/health</w:t>
      </w:r>
      <w:r>
        <w:rPr/>
        <w:t xml:space="preserve">) endpoints received a dedicated, real concurrent-load test — a repeated-trial exercise, not a single-pass manual walkthrough.</w:t>
      </w:r>
    </w:p>
    <w:p>
      <w:pPr>
        <w:spacing w:lineRule="auto"/>
      </w:pPr>
      <w:r>
        <w:rPr/>
        <w:t xml:space="preserve">The first such test found a genuine complete-failure mode: 25 concurrent requests to the Provider Health endpoint timed out 100% of the time. Two real bugs were found and fixed as a direct result:</w:t>
      </w:r>
    </w:p>
    <w:p>
      <w:pPr>
        <w:numPr>
          <w:ilvl w:val="0"/>
          <w:numId w:val="55"/>
        </w:numPr>
        <w:spacing w:lineRule="auto"/>
      </w:pPr>
      <w:r>
        <w:rPr>
          <w:b/>
        </w:rPr>
        <w:t xml:space="preserve">Excessive sequential database round-trips.</w:t>
      </w:r>
      <w:r>
        <w:rPr/>
        <w:t xml:space="preserve"> The endpoint's aggregation code was issuing on the order of 300 sequential, awaited database round-trips in a single request (multiple metrics across multiple time windows, for every registered provider). This was consolidated into a small number of aggregate queries per request, using SQL conditional aggregation grouped by provider so the database computes every window's numbers for every provider in one round-trip instead of one round-trip per provider per window per metric.</w:t>
      </w:r>
    </w:p>
    <w:p>
      <w:pPr>
        <w:numPr>
          <w:ilvl w:val="0"/>
          <w:numId w:val="55"/>
        </w:numPr>
        <w:spacing w:lineRule="auto"/>
      </w:pPr>
      <w:r>
        <w:rPr>
          <w:b/>
        </w:rPr>
        <w:t xml:space="preserve">Database connection-pool sizing that didn't account for real per-request connection usage.</w:t>
      </w:r>
      <w:r>
        <w:rPr/>
        <w:t xml:space="preserve"> The pool had been sized around the ORM's un-tuned defaults, which didn't account for a single authenticated request actually holding two simultaneous connections at once (one for the authentication dependency, one opened separately by the endpoint's own service logic). The pool was resized to account for that.</w:t>
      </w:r>
    </w:p>
    <w:p>
      <w:pPr>
        <w:spacing w:lineRule="auto"/>
      </w:pPr>
      <w:r>
        <w:rPr/>
        <w:t xml:space="preserve">After both fixes, the same 25-concurrent-request test against the Provider Health endpoint was re-run live: it went from 100% timeout to 100% success, completing in under 2 seconds — a complete reversal of the earlier failure, not just an incremental improvement.</w:t>
      </w:r>
    </w:p>
    <w:p>
      <w:pPr>
        <w:spacing w:lineRule="auto"/>
      </w:pPr>
      <w:r>
        <w:rPr>
          <w:b/>
        </w:rPr>
        <w:t xml:space="preserve">A separate, honestly disclosed characteristic, not a bug:</w:t>
      </w:r>
      <w:r>
        <w:rPr/>
        <w:t xml:space="preserve"> the AI-generated executive summary can become significantly slower under heavy </w:t>
      </w:r>
      <w:r>
        <w:rPr/>
        <w:t xml:space="preserve">concurrent</w:t>
      </w:r>
      <w:r>
        <w:rPr/>
        <w:t xml:space="preserve"> load specifically when the platform is configured to use a local AI backend (e.g. Ollama) — a single local model processes generation requests one at a time, so concurrent requests for the executive summary queue up behind one another. This does not affect data correctness: the underlying KPI numbers behind the summary are always the current, real, deterministic values, regardless of how long the AI narrative itself takes to generate. It also does not affect the Dashboard's core KPI tiles or the Provider Health page, both of which are pure database reads, unaffected by AI backend choice or load. An administrator expecting many concurrent users should consider a cloud AI backend (Claude/Bedrock/Gemini/Groq) rather than a local model, for a consistently fast executive summary under concurrent load.</w:t>
      </w:r>
    </w:p>
    <w:p>
      <w:pPr>
        <w:pStyle w:val="Heading2"/>
        <w:spacing w:lineRule="auto"/>
      </w:pPr>
      <w:r>
        <w:rPr/>
        <w:t xml:space="preserve">Caveats</w:t>
      </w:r>
    </w:p>
    <w:p>
      <w:pPr>
        <w:numPr>
          <w:ilvl w:val="0"/>
          <w:numId w:val="56"/>
        </w:numPr>
        <w:spacing w:lineRule="auto"/>
      </w:pPr>
      <w:r>
        <w:rPr>
          <w:b/>
        </w:rPr>
        <w:t xml:space="preserve">No formal performance-testing infrastructure exists, with one exception.</w:t>
      </w:r>
      <w:r>
        <w:rPr/>
        <w:t xml:space="preserve"> Every measured value above comes from a single manual QA pass on a single workstation, not from a repeatable benchmark harness, and the "bulk" exercise it drew from was eight sequential lookups — enough to sanity-check for leaks, not to establish throughput or latency distributions. Treat the measured rows as one anecdotal data point each, not as guaranteed or typical performance. The one exception is the dedicated concurrent-load test against the Dashboard/Provider Health endpoints described above, which was a genuine repeated-trial (25 concurrent requests) exercise rather than a single manual pass.</w:t>
      </w:r>
    </w:p>
    <w:p>
      <w:pPr>
        <w:numPr>
          <w:ilvl w:val="0"/>
          <w:numId w:val="56"/>
        </w:numPr>
        <w:spacing w:lineRule="auto"/>
      </w:pPr>
      <w:r>
        <w:rPr>
          <w:b/>
        </w:rPr>
        <w:t xml:space="preserve">A meaningful share of idle memory is currently unused infrastructure, not active workload.</w:t>
      </w:r>
      <w:r>
        <w:rPr/>
        <w:t xml:space="preserve"> Neo4j (~553 MB idle) and OpenSearch (~1.07 GB idle) are provisioned containers with no consuming backend code (see architecture-facts.md §2/§5/§9) — together they account for roughly 1.6 GB of the platform's idle memory footprint while doing no work for the running system today.</w:t>
      </w:r>
    </w:p>
    <w:p>
      <w:pPr>
        <w:numPr>
          <w:ilvl w:val="0"/>
          <w:numId w:val="56"/>
        </w:numPr>
        <w:spacing w:lineRule="auto"/>
      </w:pPr>
      <w:r>
        <w:rPr>
          <w:b/>
        </w:rPr>
        <w:t xml:space="preserve">The two "3-minute" figures are ceilings, not typical waits.</w:t>
      </w:r>
      <w:r>
        <w:rPr/>
        <w:t xml:space="preserve"> Neither source document reports how long the setup wizard's post-install health poll or the "Open Platform" launcher's Docker-Desktop-startup wait actually took in the tested runs — only the configured maximum each will tolerate before giving up or erroring.</w:t>
      </w:r>
    </w:p>
    <w:p>
      <w:pPr>
        <w:numPr>
          <w:ilvl w:val="0"/>
          <w:numId w:val="56"/>
        </w:numPr>
        <w:spacing w:lineRule="auto"/>
      </w:pPr>
      <w:r>
        <w:rPr>
          <w:b/>
        </w:rPr>
        <w:t xml:space="preserve">The Ollama 120-second timeout is backend-specific.</w:t>
      </w:r>
      <w:r>
        <w:rPr/>
        <w:t xml:space="preserve"> It applies when the platform is configured to use the default local </w:t>
      </w:r>
      <w:r>
        <w:rPr/>
        <w:t xml:space="preserve">ollama</w:t>
      </w:r>
      <w:r>
        <w:rPr/>
        <w:t xml:space="preserve"> AI backend (model </w:t>
      </w:r>
      <w:r>
        <w:rPr/>
        <w:t xml:space="preserve">llama3.2:3b</w:t>
      </w:r>
      <w:r>
        <w:rPr/>
        <w:t xml:space="preserve">); the facts reviewed do not document an equivalent hardcoded timeout for the alternative </w:t>
      </w:r>
      <w:r>
        <w:rPr/>
        <w:t xml:space="preserve">anthropic</w:t>
      </w:r>
      <w:r>
        <w:rPr/>
        <w:t xml:space="preserve">, </w:t>
      </w:r>
      <w:r>
        <w:rPr/>
        <w:t xml:space="preserve">bedrock</w:t>
      </w:r>
      <w:r>
        <w:rPr/>
        <w:t xml:space="preserve">, or </w:t>
      </w:r>
      <w:r>
        <w:rPr/>
        <w:t xml:space="preserve">gemini</w:t>
      </w:r>
      <w:r>
        <w:rPr/>
        <w:t xml:space="preserve"> backends.</w:t>
      </w:r>
    </w:p>
    <w:p>
      <w:r>
        <w:br w:type="page"/>
      </w:r>
    </w:p>
    <w:p>
      <w:pPr>
        <w:pStyle w:val="Heading1"/>
        <w:spacing w:lineRule="auto"/>
      </w:pPr>
      <w:r>
        <w:rPr/>
        <w:t xml:space="preserve">Limitations</w:t>
      </w:r>
    </w:p>
    <w:p>
      <w:pPr>
        <w:spacing w:lineRule="auto"/>
      </w:pPr>
      <w:r>
        <w:rPr/>
        <w:t xml:space="preserve">This appendix is a code-verified list of HORIZON GRID's known limitations, compiled by direct inspection of the backend source rather than by restating aspirational design documents. An </w:t>
      </w:r>
      <w:r>
        <w:rPr>
          <w:b/>
        </w:rPr>
        <w:t xml:space="preserve">IOC</w:t>
      </w:r>
      <w:r>
        <w:rPr/>
        <w:t xml:space="preserve"> (Indicator of Compromise) is the value a user submits for lookup — an IP address, domain, URL, file hash, CVE identifier, and so on. A </w:t>
      </w:r>
      <w:r>
        <w:rPr>
          <w:b/>
        </w:rPr>
        <w:t xml:space="preserve">provider</w:t>
      </w:r>
      <w:r>
        <w:rPr/>
        <w:t xml:space="preserve"> is the platform's term for one integrated external intelligence source (e.g., VirusTotal, AbuseIPDB) that the lookup </w:t>
      </w:r>
      <w:r>
        <w:rPr>
          <w:b/>
        </w:rPr>
        <w:t xml:space="preserve">orchestrator</w:t>
      </w:r>
      <w:r>
        <w:rPr/>
        <w:t xml:space="preserve"> queries in parallel for a given IOC. Where the platform's own documentation (</w:t>
      </w:r>
      <w:r>
        <w:rPr/>
        <w:t xml:space="preserve">docs/SECURITY.md</w:t>
      </w:r>
      <w:r>
        <w:rPr/>
        <w:t xml:space="preserve">) or design docstrings describe something that the code does not actually do, that gap is stated plainly below rather than smoothed over.</w:t>
      </w:r>
    </w:p>
    <w:p>
      <w:pPr>
        <w:pStyle w:val="Heading2"/>
        <w:spacing w:lineRule="auto"/>
      </w:pPr>
      <w:r>
        <w:rPr/>
        <w:t xml:space="preserve">Provider Limitations</w:t>
      </w:r>
    </w:p>
    <w:p>
      <w:pPr>
        <w:spacing w:lineRule="auto"/>
      </w:pPr>
      <w:r>
        <w:rPr/>
        <w:t xml:space="preserve">The platform registers 18 providers (</w:t>
      </w:r>
      <w:r>
        <w:rPr/>
        <w:t xml:space="preserve">backend/app/providers/registry.py</w:t>
      </w:r>
      <w:r>
        <w:rPr/>
        <w:t xml:space="preserve">), including urlscan.io and Google Safe Browsing (both configured after install, not via the setup wizard — see the Provider Guide). Several have quirks, verified directly in their connector code, that affect what results a user can expect from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Quirk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Verified detail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Dual-credential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p>
            <w:pPr>
              <w:spacing w:lineRule="auto"/>
            </w:pPr>
            <w:r>
              <w:rPr/>
              <w:t xml:space="preserve"> requires </w:t>
            </w:r>
          </w:p>
          <w:p>
            <w:pPr>
              <w:spacing w:lineRule="auto"/>
            </w:pPr>
            <w:r>
              <w:rPr>
                <w:b/>
              </w:rPr>
              <w:t xml:space="preserve">both</w:t>
            </w:r>
          </w:p>
          <w:p>
            <w:pPr>
              <w:spacing w:lineRule="auto"/>
            </w:pPr>
            <w:r>
              <w:rPr/>
              <w:t xml:space="preserve"> a Personal Access Token </w:t>
            </w:r>
          </w:p>
          <w:p>
            <w:pPr>
              <w:spacing w:lineRule="auto"/>
            </w:pPr>
            <w:r>
              <w:rPr>
                <w:b/>
              </w:rPr>
              <w:t xml:space="preserve">and</w:t>
            </w:r>
          </w:p>
          <w:p>
            <w:pPr>
              <w:spacing w:lineRule="auto"/>
            </w:pPr>
            <w:r>
              <w:rPr/>
              <w:t xml:space="preserve"> an Organization ID; either alone leaves the provider </w:t>
            </w:r>
          </w:p>
          <w:p>
            <w:pPr>
              <w:spacing w:lineRule="auto"/>
            </w:pPr>
            <w:r>
              <w:rPr>
                <w:highlight w:val="lightGray"/>
              </w:rPr>
              <w:t xml:space="preserve">NOT_CONFIGURED</w:t>
            </w:r>
          </w:p>
          <w:p>
            <w:pPr>
              <w:spacing w:lineRule="auto"/>
            </w:pPr>
            <w:r>
              <w:rPr/>
              <w:t xml:space="preserve"> (</w:t>
            </w:r>
          </w:p>
          <w:p>
            <w:pPr>
              <w:spacing w:lineRule="auto"/>
            </w:pPr>
            <w:r>
              <w:rPr>
                <w:highlight w:val="lightGray"/>
              </w:rPr>
              <w:t xml:space="preserve">app/providers/stubs/censys.py</w:t>
            </w:r>
          </w:p>
          <w:p>
            <w:pPr>
              <w:spacing w:lineRule="auto"/>
            </w:pPr>
            <w:r>
              <w:rPr/>
              <w:t xml:space="preserve"> lines 30-35).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NVD (NIST)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is optional, not required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 = False</w:t>
            </w:r>
          </w:p>
          <w:p>
            <w:pPr>
              <w:spacing w:lineRule="auto"/>
            </w:pPr>
            <w:r>
              <w:rPr/>
              <w:t xml:space="preserve">, </w:t>
            </w:r>
          </w:p>
          <w:p>
            <w:pPr>
              <w:spacing w:lineRule="auto"/>
            </w:pPr>
            <w:r>
              <w:rPr>
                <w:highlight w:val="lightGray"/>
              </w:rPr>
              <w:t xml:space="preserve">configured = True</w:t>
            </w:r>
          </w:p>
          <w:p>
            <w:pPr>
              <w:spacing w:lineRule="auto"/>
            </w:pPr>
            <w:r>
              <w:rPr/>
              <w:t xml:space="preserve"> unconditionally. An API key does not unlock the provider — it only raises the unauthenticated rate limit (~5 requests/30s) to ~50 requests/30s (</w:t>
            </w:r>
          </w:p>
          <w:p>
            <w:pPr>
              <w:spacing w:lineRule="auto"/>
            </w:pPr>
            <w:r>
              <w:rPr>
                <w:highlight w:val="lightGray"/>
              </w:rPr>
              <w:t xml:space="preserve">app/providers/nvd.py</w:t>
            </w:r>
          </w:p>
          <w:p>
            <w:pPr>
              <w:spacing w:lineRule="auto"/>
            </w:pPr>
            <w:r>
              <w:rPr/>
              <w:t xml:space="preserve"> lines 24-27).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 / ThreatFox / MalwareBazaar (abuse.ch)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shared key across three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three connectors read the same </w:t>
            </w:r>
          </w:p>
          <w:p>
            <w:pPr>
              <w:spacing w:lineRule="auto"/>
            </w:pPr>
            <w:r>
              <w:rPr>
                <w:highlight w:val="lightGray"/>
              </w:rPr>
              <w:t xml:space="preserve">abusech_auth_key</w:t>
            </w:r>
          </w:p>
          <w:p>
            <w:pPr>
              <w:spacing w:lineRule="auto"/>
            </w:pPr>
            <w:r>
              <w:rPr/>
              <w:t xml:space="preserve"> setting. A missing or invalid key is deliberately mapped to </w:t>
            </w:r>
          </w:p>
          <w:p>
            <w:pPr>
              <w:spacing w:lineRule="auto"/>
            </w:pPr>
            <w:r>
              <w:rPr>
                <w:highlight w:val="lightGray"/>
              </w:rPr>
              <w:t xml:space="preserve">ProviderStatus.ERROR</w:t>
            </w:r>
          </w:p>
          <w:p>
            <w:pPr>
              <w:spacing w:lineRule="auto"/>
            </w:pPr>
            <w:r>
              <w:rPr/>
              <w:t xml:space="preserve">, not </w:t>
            </w:r>
          </w:p>
          <w:p>
            <w:pPr>
              <w:spacing w:lineRule="auto"/>
            </w:pPr>
            <w:r>
              <w:rPr>
                <w:highlight w:val="lightGray"/>
              </w:rPr>
              <w:t xml:space="preserve">NO_DATA</w:t>
            </w:r>
          </w:p>
          <w:p>
            <w:pPr>
              <w:spacing w:lineRule="auto"/>
            </w:pPr>
            <w:r>
              <w:rPr/>
              <w:t xml:space="preserve"> — so a misconfigured key cannot be mistaken for "this IOC is clean" (</w:t>
            </w:r>
          </w:p>
          <w:p>
            <w:pPr>
              <w:spacing w:lineRule="auto"/>
            </w:pPr>
            <w:r>
              <w:rPr>
                <w:highlight w:val="lightGray"/>
              </w:rPr>
              <w:t xml:space="preserve">abusech.py</w:t>
            </w:r>
          </w:p>
          <w:p>
            <w:pPr>
              <w:spacing w:lineRule="auto"/>
            </w:pPr>
            <w:r>
              <w:rPr/>
              <w:t xml:space="preserve"> lines 6-8).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SHA256-only sandbox 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connector's own code comment states the VirusTotal-style hash-search endpoint (</w:t>
            </w:r>
          </w:p>
          <w:p>
            <w:pPr>
              <w:spacing w:lineRule="auto"/>
            </w:pPr>
            <w:r>
              <w:rPr>
                <w:highlight w:val="lightGray"/>
              </w:rPr>
              <w:t xml:space="preserve">/api/v2/search/hash</w:t>
            </w:r>
          </w:p>
          <w:p>
            <w:pPr>
              <w:spacing w:lineRule="auto"/>
            </w:pPr>
            <w:r>
              <w:rPr/>
              <w:t xml:space="preserve">) is deprecated (HTTP 410), and that URL-search support was removed after every plausible request-body field name failed against the live API. MD5, SHA1, and URL lookups are therefore unsupported (</w:t>
            </w:r>
          </w:p>
          <w:p>
            <w:pPr>
              <w:spacing w:lineRule="auto"/>
            </w:pPr>
            <w:r>
              <w:rPr>
                <w:highlight w:val="lightGray"/>
              </w:rPr>
              <w:t xml:space="preserve">stubs/hybrid_analysis.py</w:t>
            </w:r>
          </w:p>
          <w:p>
            <w:pPr>
              <w:spacing w:lineRule="auto"/>
            </w:pPr>
            <w:r>
              <w:rPr/>
              <w:t xml:space="preserve"> lines 6-17).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Intermittent 403s are treated as inconclusive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 is documented to sometimes return HTTP 403 to any generic client regardless of key validity. The platform's connection test treats a 403 as inconclusive/"ok" rather than a hard authentication failure, since PhishTank never requires a key in the first place (</w:t>
            </w:r>
          </w:p>
          <w:p>
            <w:pPr>
              <w:spacing w:lineRule="auto"/>
            </w:pPr>
            <w:r>
              <w:rPr>
                <w:highlight w:val="lightGray"/>
              </w:rPr>
              <w:t xml:space="preserve">connection_test.py</w:t>
            </w:r>
          </w:p>
          <w:p>
            <w:pPr>
              <w:spacing w:lineRule="auto"/>
            </w:pPr>
            <w:r>
              <w:rPr/>
              <w:t xml:space="preserve"> lines 158-183).</w:t>
            </w:r>
          </w:p>
        </w:tc>
      </w:tr>
    </w:tbl>
    <w:p>
      <w:pPr>
        <w:spacing w:lineRule="auto"/>
      </w:pPr>
      <w:r>
        <w:rPr/>
      </w:r>
    </w:p>
    <w:p>
      <w:pPr>
        <w:spacing w:lineRule="auto"/>
      </w:pPr>
      <w:r>
        <w:rPr/>
        <w:t xml:space="preserve">Beyond individual quirks, every provider call is bounded — but not eliminated — by a uniform timeout and retry policy: </w:t>
      </w:r>
      <w:r>
        <w:rPr/>
        <w:t xml:space="preserve">provider_timeout_seconds</w:t>
      </w:r>
      <w:r>
        <w:rPr/>
        <w:t xml:space="preserve"> (20s) and </w:t>
      </w:r>
      <w:r>
        <w:rPr/>
        <w:t xml:space="preserve">provider_max_retries</w:t>
      </w:r>
      <w:r>
        <w:rPr/>
        <w:t xml:space="preserve"> (2), with exponential backoff (</w:t>
      </w:r>
      <w:r>
        <w:rPr/>
        <w:t xml:space="preserve">wait_exponential(multiplier=0.5, max=4)</w:t>
      </w:r>
      <w:r>
        <w:rPr/>
        <w:t xml:space="preserve">) (</w:t>
      </w:r>
      <w:r>
        <w:rPr/>
        <w:t xml:space="preserve">app/core/config.py</w:t>
      </w:r>
      <w:r>
        <w:rPr/>
        <w:t xml:space="preserve"> lines 89-92). A provider result is also cached in Redis for </w:t>
      </w:r>
      <w:r>
        <w:rPr/>
        <w:t xml:space="preserve">provider_cache_ttl_seconds</w:t>
      </w:r>
      <w:r>
        <w:rPr/>
        <w:t xml:space="preserve"> (3,600s / 1 hour) to reduce repeat outbound calls (</w:t>
      </w:r>
      <w:r>
        <w:rPr/>
        <w:t xml:space="preserve">app/core/cache.py</w:t>
      </w:r>
      <w:r>
        <w:rPr/>
        <w:t xml:space="preserve">).</w:t>
      </w:r>
    </w:p>
    <w:p>
      <w:pPr>
        <w:spacing w:lineRule="auto"/>
      </w:pPr>
      <w:r>
        <w:rPr>
          <w:b/>
        </w:rPr>
        <w:t xml:space="preserve">Internet / provider-availability dependency.</w:t>
      </w:r>
      <w:r>
        <w:rPr/>
        <w:t xml:space="preserve"> Most of the 18 providers are external third-party services reached over the internet, so a lookup's completeness depends on those services (and the host machine's network path to them) being reachable at query time. This extends to the two providers backed by periodically-refreshed cached catalogs — </w:t>
      </w:r>
      <w:r>
        <w:rPr/>
        <w:t xml:space="preserve">cisa_kev</w:t>
      </w:r>
      <w:r>
        <w:rPr/>
        <w:t xml:space="preserve"> and </w:t>
      </w:r>
      <w:r>
        <w:rPr/>
        <w:t xml:space="preserve">mitre_attack</w:t>
      </w:r>
      <w:r>
        <w:rPr/>
        <w:t xml:space="preserve">, both cached in-memory for a 1-hour TTL — and to the </w:t>
      </w:r>
      <w:r>
        <w:rPr/>
        <w:t xml:space="preserve">internet_intelligence</w:t>
      </w:r>
      <w:r>
        <w:rPr/>
        <w:t xml:space="preserve"> provider, which wraps an OSINT crawler over GitHub, Reddit, RSS, and pastebin sources (</w:t>
      </w:r>
      <w:r>
        <w:rPr/>
        <w:t xml:space="preserve">app/crawler/</w:t>
      </w:r>
      <w:r>
        <w:rPr/>
        <w:t xml:space="preserve">). Because providers run concurrently rather than sequentially (</w:t>
      </w:r>
      <w:r>
        <w:rPr/>
        <w:t xml:space="preserve">app/providers/orchestrator.py</w:t>
      </w:r>
      <w:r>
        <w:rPr/>
        <w:t xml:space="preserve">), one unreachable or rate-limited provider does not block the others, but its own result for that lookup will be missing or marked as an error rather than substituted with any cached or inferred data.</w:t>
      </w:r>
    </w:p>
    <w:p>
      <w:pPr>
        <w:pStyle w:val="Heading2"/>
        <w:spacing w:lineRule="auto"/>
      </w:pPr>
      <w:r>
        <w:rPr/>
        <w:t xml:space="preserve">AI Limitations</w:t>
      </w:r>
    </w:p>
    <w:p>
      <w:pPr>
        <w:spacing w:lineRule="auto"/>
      </w:pPr>
      <w:r>
        <w:rPr/>
        <w:t xml:space="preserve">The platform's AI layer defaults to a small local model (</w:t>
      </w:r>
      <w:r>
        <w:rPr/>
        <w:t xml:space="preserve">llama3.2:3b</w:t>
      </w:r>
      <w:r>
        <w:rPr/>
        <w:t xml:space="preserve"> via Ollama, no API key, no internet dependency for inference itself) rather than a large hosted model; </w:t>
      </w:r>
      <w:r>
        <w:rPr/>
        <w:t xml:space="preserve">anthropic</w:t>
      </w:r>
      <w:r>
        <w:rPr/>
        <w:t xml:space="preserve">, </w:t>
      </w:r>
      <w:r>
        <w:rPr/>
        <w:t xml:space="preserve">bedrock</w:t>
      </w:r>
      <w:r>
        <w:rPr/>
        <w:t xml:space="preserve"> (AWS), </w:t>
      </w:r>
      <w:r>
        <w:rPr/>
        <w:t xml:space="preserve">gemini</w:t>
      </w:r>
      <w:r>
        <w:rPr/>
        <w:t xml:space="preserve">, and </w:t>
      </w:r>
      <w:r>
        <w:rPr/>
        <w:t xml:space="preserve">groq</w:t>
      </w:r>
      <w:r>
        <w:rPr/>
        <w:t xml:space="preserve"> are also supported as alternative backends, all of which do require internet connectivity and a configured credential (</w:t>
      </w:r>
      <w:r>
        <w:rPr/>
        <w:t xml:space="preserve">app/core/config.py</w:t>
      </w:r>
      <w:r>
        <w:rPr/>
        <w:t xml:space="preserve"> line 69; client files in </w:t>
      </w:r>
      <w:r>
        <w:rPr/>
        <w:t xml:space="preserve">app/ai/</w:t>
      </w:r>
      <w:r>
        <w:rPr/>
        <w:t xml:space="preserve">).</w:t>
      </w:r>
    </w:p>
    <w:p>
      <w:pPr>
        <w:spacing w:lineRule="auto"/>
      </w:pPr>
      <w:r>
        <w:rPr>
          <w:b/>
        </w:rPr>
        <w:t xml:space="preserve">Known characteristic: a small local model can fabricate findings if not constrained.</w:t>
      </w:r>
      <w:r>
        <w:rPr/>
        <w:t xml:space="preserve"> The code comments document a specific, reproduced failure: looking up the real MD5 hash of the EICAR antivirus test file (</w:t>
      </w:r>
      <w:r>
        <w:rPr/>
        <w:t xml:space="preserve">44d88612fea8a8f36de82e1278abb02f</w:t>
      </w:r>
      <w:r>
        <w:rPr/>
        <w:t xml:space="preserve">) against </w:t>
      </w:r>
      <w:r>
        <w:rPr>
          <w:b/>
        </w:rPr>
        <w:t xml:space="preserve">zero configured providers</w:t>
      </w:r>
      <w:r>
        <w:rPr/>
        <w:t xml:space="preserve"> — i.e., with no actual evidence — still caused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w:t>
      </w:r>
      <w:r>
        <w:rPr/>
        <w:t xml:space="preserve">service.py</w:t>
      </w:r>
      <w:r>
        <w:rPr/>
        <w:t xml:space="preserve"> lines 242-284). This is stated here as a documented, actively-mitigated characteristic of the current small-model default, not a hidden defect. The engineering response was not to trust prompt wording alone but to add deterministic, code-level guards around the model's output:</w:t>
      </w:r>
    </w:p>
    <w:p>
      <w:pPr>
        <w:numPr>
          <w:ilvl w:val="0"/>
          <w:numId w:val="57"/>
        </w:numPr>
        <w:spacing w:lineRule="auto"/>
      </w:pPr>
      <w:r>
        <w:rPr>
          <w:b/>
        </w:rPr>
        <w:t xml:space="preserve">No-evidence short-circuit guard</w:t>
      </w:r>
      <w:r>
        <w:rPr/>
        <w:t xml:space="preserve"> — if both </w:t>
      </w:r>
      <w:r>
        <w:rPr/>
        <w:t xml:space="preserve">provider_summaries</w:t>
      </w:r>
      <w:r>
        <w:rPr/>
        <w:t xml:space="preserve"> and </w:t>
      </w:r>
      <w:r>
        <w:rPr/>
        <w:t xml:space="preserve">correlation.edges</w:t>
      </w:r>
      <w:r>
        <w:rPr/>
        <w:t xml:space="preserve"> are empty, </w:t>
      </w:r>
      <w:r>
        <w:rPr/>
        <w:t xml:space="preserve">generate_final_assessment()</w:t>
      </w:r>
      <w:r>
        <w:rPr/>
        <w:t xml:space="preserve"> returns a hardcoded, deterministic result (</w:t>
      </w:r>
      <w:r>
        <w:rPr/>
        <w:t xml:space="preserve">final_verdict=Verdict.UNKNOWN</w:t>
      </w:r>
      <w:r>
        <w:rPr/>
        <w:t xml:space="preserve">, all risk fields </w:t>
      </w:r>
      <w:r>
        <w:rPr/>
        <w:t xml:space="preserve">0</w:t>
      </w:r>
      <w:r>
        <w:rPr/>
        <w:t xml:space="preserve">) </w:t>
      </w:r>
      <w:r>
        <w:rPr>
          <w:b/>
        </w:rPr>
        <w:t xml:space="preserve">without calling the AI backend at all</w:t>
      </w:r>
      <w:r>
        <w:rPr/>
        <w:t xml:space="preserve"> (</w:t>
      </w:r>
      <w:r>
        <w:rPr/>
        <w:t xml:space="preserve">service.py</w:t>
      </w:r>
      <w:r>
        <w:rPr/>
        <w:t xml:space="preserve"> lines 242-284).</w:t>
      </w:r>
    </w:p>
    <w:p>
      <w:pPr>
        <w:numPr>
          <w:ilvl w:val="0"/>
          <w:numId w:val="57"/>
        </w:numPr>
        <w:spacing w:lineRule="auto"/>
      </w:pPr>
      <w:r>
        <w:rPr>
          <w:b/>
        </w:rPr>
        <w:t xml:space="preserve">Grounding pass (</w:t>
      </w:r>
      <w:r>
        <w:rPr>
          <w:b/>
        </w:rPr>
        <w:t xml:space="preserve">_ground_final_assessment()</w:t>
      </w:r>
      <w:r>
        <w:rPr>
          <w:b/>
        </w:rPr>
        <w:t xml:space="preserve">, </w:t>
      </w:r>
      <w:r>
        <w:rPr>
          <w:b/>
        </w:rPr>
        <w:t xml:space="preserve">service.py</w:t>
      </w:r>
      <w:r>
        <w:rPr>
          <w:b/>
        </w:rPr>
        <w:t xml:space="preserve"> lines 137-190)</w:t>
      </w:r>
      <w:r>
        <w:rPr/>
        <w:t xml:space="preserve"> — cross-checks the AI's own structured output against the deterministic correlation data: it silently strips any </w:t>
      </w:r>
      <w:r>
        <w:rPr/>
        <w:t xml:space="preserve">agreeing_providers</w:t>
      </w:r>
      <w:r>
        <w:rPr/>
        <w:t xml:space="preserve">/</w:t>
      </w:r>
      <w:r>
        <w:rPr/>
        <w:t xml:space="preserve">disagreeing_providers</w:t>
      </w:r>
      <w:r>
        <w:rPr/>
        <w:t xml:space="preserve"> entry that isn't backed by a real correlation edge, provider-agreement record, or per-provider summary, and marks </w:t>
      </w:r>
      <w:r>
        <w:rPr/>
        <w:t xml:space="preserve">mapping.grounded = False</w:t>
      </w:r>
      <w:r>
        <w:rPr/>
        <w:t xml:space="preserve"> on any cited MITRE ATT&amp;CK technique not backed by a real </w:t>
      </w:r>
      <w:r>
        <w:rPr/>
        <w:t xml:space="preserve">uses_technique</w:t>
      </w:r>
      <w:r>
        <w:rPr/>
        <w:t xml:space="preserve"> correlation edge.</w:t>
      </w:r>
    </w:p>
    <w:p>
      <w:pPr>
        <w:numPr>
          <w:ilvl w:val="0"/>
          <w:numId w:val="57"/>
        </w:numPr>
        <w:spacing w:lineRule="auto"/>
      </w:pPr>
      <w:r>
        <w:rPr>
          <w:b/>
        </w:rPr>
        <w:t xml:space="preserve">Evidence-citation stripping/backfill (</w:t>
      </w:r>
      <w:r>
        <w:rPr>
          <w:b/>
        </w:rPr>
        <w:t xml:space="preserve">analysis_service.py</w:t>
      </w:r>
      <w:r>
        <w:rPr>
          <w:b/>
        </w:rPr>
        <w:t xml:space="preserve">, lines 55-112)</w:t>
      </w:r>
      <w:r>
        <w:rPr/>
        <w:t xml:space="preserve"> — </w:t>
      </w:r>
      <w:r>
        <w:rPr/>
        <w:t xml:space="preserve">_strip_invalid_evidence_ids()</w:t>
      </w:r>
      <w:r>
        <w:rPr/>
        <w:t xml:space="preserve"> removes any </w:t>
      </w:r>
      <w:r>
        <w:rPr/>
        <w:t xml:space="preserve">evidence_ids</w:t>
      </w:r>
      <w:r>
        <w:rPr/>
        <w:t xml:space="preserve"> citation on the analyst-facing explanation endpoints (WHY malicious, Challenge/red-team, Copilot Q&amp;A, and others) that doesn't match a real </w:t>
      </w:r>
      <w:r>
        <w:rPr/>
        <w:t xml:space="preserve">EvidenceItem.id</w:t>
      </w:r>
      <w:r>
        <w:rPr/>
        <w:t xml:space="preserve"> for that lookup; </w:t>
      </w:r>
      <w:r>
        <w:rPr/>
        <w:t xml:space="preserve">_backfill_evidence_ids_from_prose()</w:t>
      </w:r>
      <w:r>
        <w:rPr/>
        <w:t xml:space="preserve"> only ever recovers citations already confirmed real, never invents new ones.</w:t>
      </w:r>
    </w:p>
    <w:p>
      <w:pPr>
        <w:numPr>
          <w:ilvl w:val="0"/>
          <w:numId w:val="57"/>
        </w:numPr>
        <w:spacing w:lineRule="auto"/>
      </w:pPr>
      <w:r>
        <w:rPr>
          <w:b/>
        </w:rPr>
        <w:t xml:space="preserve">Hunting/detection-rule generation (</w:t>
      </w:r>
      <w:r>
        <w:rPr>
          <w:b/>
        </w:rPr>
        <w:t xml:space="preserve">hunting_service.py</w:t>
      </w:r>
      <w:r>
        <w:rPr>
          <w:b/>
        </w:rPr>
        <w:t xml:space="preserve"> lines 74-79)</w:t>
      </w:r>
      <w:r>
        <w:rPr/>
        <w:t xml:space="preserve"> — explicitly strips any invented expansion target the model produces before it reaches the user.</w:t>
      </w:r>
    </w:p>
    <w:p>
      <w:pPr>
        <w:numPr>
          <w:ilvl w:val="0"/>
          <w:numId w:val="57"/>
        </w:numPr>
        <w:spacing w:lineRule="auto"/>
      </w:pPr>
      <w:r>
        <w:rPr>
          <w:b/>
        </w:rPr>
        <w:t xml:space="preserve">Score-scale and consistency validators</w:t>
      </w:r>
      <w:r>
        <w:rPr/>
        <w:t xml:space="preserve"> — </w:t>
      </w:r>
      <w:r>
        <w:rPr/>
        <w:t xml:space="preserve">RiskAssessment</w:t>
      </w:r>
      <w:r>
        <w:rPr/>
        <w:t xml:space="preserve"> fields are defined on a 0-100 scale, with a </w:t>
      </w:r>
      <w:r>
        <w:rPr/>
        <w:t xml:space="preserve">field_validator</w:t>
      </w:r>
      <w:r>
        <w:rPr/>
        <w:t xml:space="preserve"> that auto-rescales any 0-1-range value by x100, added because </w:t>
      </w:r>
      <w:r>
        <w:rPr/>
        <w:t xml:space="preserve">llama3.2:3b</w:t>
      </w:r>
      <w:r>
        <w:rPr/>
        <w:t xml:space="preserve"> was observed defaulting to a 0-1 convention (</w:t>
      </w:r>
      <w:r>
        <w:rPr/>
        <w:t xml:space="preserve">app/ai/schemas.py</w:t>
      </w:r>
      <w:r>
        <w:rPr/>
        <w:t xml:space="preserve"> lines 101-131); a separate </w:t>
      </w:r>
      <w:r>
        <w:rPr/>
        <w:t xml:space="preserve">model_validator</w:t>
      </w:r>
      <w:r>
        <w:rPr/>
        <w:t xml:space="preserve"> rejects self-contradictory combinations such as </w:t>
      </w:r>
      <w:r>
        <w:rPr/>
        <w:t xml:space="preserve">final_verdict="malicious"</w:t>
      </w:r>
      <w:r>
        <w:rPr/>
        <w:t xml:space="preserve"> with </w:t>
      </w:r>
      <w:r>
        <w:rPr/>
        <w:t xml:space="preserve">malicious_probability &lt; 30</w:t>
      </w:r>
      <w:r>
        <w:rPr/>
        <w:t xml:space="preserve"> (schemas.py lines 187-208).</w:t>
      </w:r>
    </w:p>
    <w:p>
      <w:pPr>
        <w:spacing w:lineRule="auto"/>
      </w:pPr>
      <w:r>
        <w:rPr/>
        <w:t xml:space="preserve">A related operational limitation: the Ollama client has a hardcoded 120-second timeout (</w:t>
      </w:r>
      <w:r>
        <w:rPr/>
        <w:t xml:space="preserve">ollama_client.py</w:t>
      </w:r>
      <w:r>
        <w:rPr/>
        <w:t xml:space="preserve"> line 35), with a code comment noting that a model which has spilled from VRAM to CPU/mmap has been observed taking several minutes per response — i.e., local-model latency is not bounded tightly and can occasionally approach the timeout. (The full AI grounding pipeline, including both call types and every safeguard above, is described in the "AI Architecture (Technical)" appendix section; this section states it specifically as a limitation-and-mitigation pair.)</w:t>
      </w:r>
    </w:p>
    <w:p>
      <w:pPr>
        <w:spacing w:lineRule="auto"/>
      </w:pPr>
      <w:r>
        <w:rPr>
          <w:b/>
        </w:rPr>
        <w:t xml:space="preserve">Groq backend: a real free-tier rate limit.</w:t>
      </w:r>
      <w:r>
        <w:rPr/>
        <w:t xml:space="preserve"> Unlike Ollama, the hosted </w:t>
      </w:r>
      <w:r>
        <w:rPr/>
        <w:t xml:space="preserve">groq</w:t>
      </w:r>
      <w:r>
        <w:rPr/>
        <w:t xml:space="preserve"> backend (</w:t>
      </w:r>
      <w:r>
        <w:rPr/>
        <w:t xml:space="preserve">app/ai/groq_client.py</w:t>
      </w:r>
      <w:r>
        <w:rPr/>
        <w:t xml:space="preserve">) depends on Groq's own API quota. At the time of testing, Groq's free tier enforced a per-minute token limit of 12,000 tokens/minute, and a real investigation was observed to hit it under only moderate use — this is a genuine constraint an analyst can run into, not a theoretical one. The platform's handling of it was verified directly rather than assumed: the resulting HTTP 429 did not crash the request, </w:t>
      </w:r>
      <w:r>
        <w:rPr/>
        <w:t xml:space="preserve">executive_summary</w:t>
      </w:r>
      <w:r>
        <w:rPr/>
        <w:t xml:space="preserve"> was correctly set to a plain "AI-generated assessment unavailable (generation error)" message, and the </w:t>
      </w:r>
      <w:r>
        <w:rPr/>
        <w:t xml:space="preserve">ai_backend</w:t>
      </w:r>
      <w:r>
        <w:rPr/>
        <w:t xml:space="preserve">/</w:t>
      </w:r>
      <w:r>
        <w:rPr/>
        <w:t xml:space="preserve">ai_model</w:t>
      </w:r>
      <w:r>
        <w:rPr/>
        <w:t xml:space="preserve"> traceability fields (</w:t>
      </w:r>
      <w:r>
        <w:rPr/>
        <w:t xml:space="preserve">app/ai/schemas.py</w:t>
      </w:r>
      <w:r>
        <w:rPr/>
        <w:t xml:space="preserve">, populated in </w:t>
      </w:r>
      <w:r>
        <w:rPr/>
        <w:t xml:space="preserve">service.py</w:t>
      </w:r>
      <w:r>
        <w:rPr/>
        <w:t xml:space="preserve">) were correctly left </w:t>
      </w:r>
      <w:r>
        <w:rPr/>
        <w:t xml:space="preserve">null</w:t>
      </w:r>
      <w:r>
        <w:rPr/>
        <w:t xml:space="preserve"> rather than fabricated with a fake success. A judge or analyst running a burst of investigations against Groq's free tier should expect occasional 429s and brief retries as normal behavior, not a platform defect.</w:t>
      </w:r>
    </w:p>
    <w:p>
      <w:pPr>
        <w:spacing w:lineRule="auto"/>
      </w:pPr>
      <w:r>
        <w:rPr/>
        <w:drawing>
          <wp:inline distB="0" distL="0" distR="0" distT="0">
            <wp:extent cx="5238750" cy="7010400"/>
            <wp:effectExtent b="0" l="0" r="0" t="0"/>
            <wp:docPr id="152" name="image-7u9CgYN91rXRiiJVnjdsK.png"/>
            <a:graphic>
              <a:graphicData uri="http://schemas.openxmlformats.org/drawingml/2006/picture">
                <pic:pic>
                  <pic:nvPicPr>
                    <pic:cNvPr id="152" name="image-7u9CgYN91rXRiiJVnjdsK.png" descr="Figure 76"/>
                    <pic:cNvPicPr/>
                  </pic:nvPicPr>
                  <pic:blipFill>
                    <a:blip r:embed="rId157" cstate="print"/>
                    <a:srcRect b="0" l="0" r="0" t="0"/>
                    <a:stretch>
                      <a:fillRect/>
                    </a:stretch>
                  </pic:blipFill>
                  <pic:spPr>
                    <a:xfrm>
                      <a:off x="0" y="0"/>
                      <a:ext cx="5238750" cy="7010400"/>
                    </a:xfrm>
                    <a:prstGeom prst="rect"/>
                  </pic:spPr>
                </pic:pic>
              </a:graphicData>
            </a:graphic>
          </wp:inline>
        </w:drawing>
      </w:r>
    </w:p>
    <w:p>
      <w:pPr>
        <w:pStyle w:val="Heading2"/>
        <w:spacing w:lineRule="auto"/>
      </w:pPr>
      <w:r>
        <w:rPr/>
        <w:t xml:space="preserve">Data Layer Limitations</w:t>
      </w:r>
    </w:p>
    <w:p>
      <w:pPr>
        <w:spacing w:lineRule="auto"/>
      </w:pPr>
      <w:r>
        <w:rPr>
          <w:b/>
        </w:rPr>
        <w:t xml:space="preserve">Postgres is the only datastore actually written to during a lookup today.</w:t>
      </w:r>
      <w:r>
        <w:rPr/>
        <w:t xml:space="preserve"> Lookups, provider results, AI summaries, correlation edges, evidence items, cases, and users all live there (</w:t>
      </w:r>
      <w:r>
        <w:rPr/>
        <w:t xml:space="preserve">backend/app/models/</w:t>
      </w:r>
      <w:r>
        <w:rPr/>
        <w:t xml:space="preserve">).</w:t>
      </w:r>
    </w:p>
    <w:p>
      <w:pPr>
        <w:spacing w:lineRule="auto"/>
      </w:pPr>
      <w:r>
        <w:rPr>
          <w:b/>
        </w:rPr>
        <w:t xml:space="preserve">Neo4j and OpenSearch are provisioned infrastructure with no consuming application code.</w:t>
      </w:r>
      <w:r>
        <w:rPr/>
        <w:t xml:space="preserve"> Both run as containers in </w:t>
      </w:r>
      <w:r>
        <w:rPr/>
        <w:t xml:space="preserve">docker-compose.yml</w:t>
      </w:r>
      <w:r>
        <w:rPr/>
        <w:t xml:space="preserve"> (</w:t>
      </w:r>
      <w:r>
        <w:rPr/>
        <w:t xml:space="preserve">neo4j:5-community</w:t>
      </w:r>
      <w:r>
        <w:rPr/>
        <w:t xml:space="preserve"> with the APOC plugin; </w:t>
      </w:r>
      <w:r>
        <w:rPr/>
        <w:t xml:space="preserve">opensearchproject/opensearch:2.17.0</w:t>
      </w:r>
      <w:r>
        <w:rPr/>
        <w:t xml:space="preserve">) and both have configuration fields already defined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in </w:t>
      </w:r>
      <w:r>
        <w:rPr/>
        <w:t xml:space="preserve">app/core/config.py</w:t>
      </w:r>
      <w:r>
        <w:rPr/>
        <w:t xml:space="preserve">). </w:t>
      </w:r>
      <w:r>
        <w:rPr/>
        <w:t xml:space="preserve">CorrelationEdgeRecord</w:t>
      </w:r>
      <w:r>
        <w:rPr/>
        <w:t xml:space="preserve">'s model docstring and the correlation engine's own module docstring describe correlation edges as being "mirrored into Neo4j" — but a full-repo grep of </w:t>
      </w:r>
      <w:r>
        <w:rPr/>
        <w:t xml:space="preserve">backend/app/**/*.py</w:t>
      </w:r>
      <w:r>
        <w:rPr/>
        <w:t xml:space="preserve"> for </w:t>
      </w:r>
      <w:r>
        <w:rPr/>
        <w:t xml:space="preserve">neo4j</w:t>
      </w:r>
      <w:r>
        <w:rPr/>
        <w:t xml:space="preserve">/</w:t>
      </w:r>
      <w:r>
        <w:rPr/>
        <w:t xml:space="preserve">Neo4j</w:t>
      </w:r>
      <w:r>
        <w:rPr/>
        <w:t xml:space="preserve">/</w:t>
      </w:r>
      <w:r>
        <w:rPr/>
        <w:t xml:space="preserve">GraphDatabase</w:t>
      </w:r>
      <w:r>
        <w:rPr/>
        <w:t xml:space="preserve"> found </w:t>
      </w:r>
      <w:r>
        <w:rPr>
          <w:b/>
        </w:rPr>
        <w:t xml:space="preserve">zero</w:t>
      </w:r>
      <w:r>
        <w:rPr/>
        <w:t xml:space="preserve"> driver instantiation, zero Cypher queries, and zero read/write calls anywhere in the application code. The same is true for OpenSearch: the container runs, but zero indexing or search client code exists in </w:t>
      </w:r>
      <w:r>
        <w:rPr/>
        <w:t xml:space="preserve">backend/app</w:t>
      </w:r>
      <w:r>
        <w:rPr/>
        <w:t xml:space="preserve">. Concretely, this means: the relationship graph a user sees is rebuilt from Postgres's </w:t>
      </w:r>
      <w:r>
        <w:rPr/>
        <w:t xml:space="preserve">correlation_edges</w:t>
      </w:r>
      <w:r>
        <w:rPr/>
        <w:t xml:space="preserve"> table on every read, not served from a graph database; and there is no full-text search functionality anywhere in the product today. Anything describing a Neo4j-backed graph store or OpenSearch-backed search as a working feature would misstate the current build — both are architecturally provisioned, not yet integrated.</w:t>
      </w:r>
    </w:p>
    <w:p>
      <w:pPr>
        <w:spacing w:lineRule="auto"/>
      </w:pPr>
      <w:r>
        <w:rPr>
          <w:b/>
        </w:rPr>
        <w:t xml:space="preserve">Redis has exactly three confirmed real uses</w:t>
      </w:r>
      <w:r>
        <w:rPr/>
        <w:t xml:space="preserve">, and no others were found: the provider-result cache (keyed </w:t>
      </w:r>
      <w:r>
        <w:rPr/>
        <w:t xml:space="preserve">provider_cache:{provider_id}:{ioc_type}:{sha256(value)}</w:t>
      </w:r>
      <w:r>
        <w:rPr/>
        <w:t xml:space="preserve">, TTL 3,600s), the fixed-window rate limiter (both the per-user limiter on lookup creation and the per-account </w:t>
      </w:r>
      <w:r>
        <w:rPr/>
        <w:t xml:space="preserve">login:{email}</w:t>
      </w:r>
      <w:r>
        <w:rPr/>
        <w:t xml:space="preserve"> limiter added in v0.2.3 share the same </w:t>
      </w:r>
      <w:r>
        <w:rPr/>
        <w:t xml:space="preserve">RateLimiter</w:t>
      </w:r>
      <w:r>
        <w:rPr/>
        <w:t xml:space="preserve"> mechanism, just different key prefixes), and the Celery broker (logical DB </w:t>
      </w:r>
      <w:r>
        <w:rPr/>
        <w:t xml:space="preserve">/1</w:t>
      </w:r>
      <w:r>
        <w:rPr/>
        <w:t xml:space="preserve">) and result backend (</w:t>
      </w:r>
      <w:r>
        <w:rPr/>
        <w:t xml:space="preserve">/2</w:t>
      </w:r>
      <w:r>
        <w:rPr/>
        <w:t xml:space="preserve">), with the cache using a separate logical DB (</w:t>
      </w:r>
      <w:r>
        <w:rPr/>
        <w:t xml:space="preserve">/0</w:t>
      </w:r>
      <w:r>
        <w:rPr/>
        <w:t xml:space="preserve">).</w:t>
      </w:r>
    </w:p>
    <w:p>
      <w:pPr>
        <w:spacing w:lineRule="auto"/>
      </w:pPr>
      <w:r>
        <w:rPr/>
        <w:drawing>
          <wp:inline distB="0" distL="0" distR="0" distT="0">
            <wp:extent cx="5467350" cy="5086350"/>
            <wp:effectExtent b="0" l="0" r="0" t="0"/>
            <wp:docPr id="154" name="image-uyMEzOtbgDIB4P6VLnX4r.png"/>
            <a:graphic>
              <a:graphicData uri="http://schemas.openxmlformats.org/drawingml/2006/picture">
                <pic:pic>
                  <pic:nvPicPr>
                    <pic:cNvPr id="154" name="image-uyMEzOtbgDIB4P6VLnX4r.png" descr="Figure 77"/>
                    <pic:cNvPicPr/>
                  </pic:nvPicPr>
                  <pic:blipFill>
                    <a:blip r:embed="rId159" cstate="print"/>
                    <a:srcRect b="0" l="0" r="0" t="0"/>
                    <a:stretch>
                      <a:fillRect/>
                    </a:stretch>
                  </pic:blipFill>
                  <pic:spPr>
                    <a:xfrm>
                      <a:off x="0" y="0"/>
                      <a:ext cx="5467350" cy="5086350"/>
                    </a:xfrm>
                    <a:prstGeom prst="rect"/>
                  </pic:spPr>
                </pic:pic>
              </a:graphicData>
            </a:graphic>
          </wp:inline>
        </w:drawing>
      </w:r>
    </w:p>
    <w:p>
      <w:pPr>
        <w:pStyle w:val="Heading2"/>
        <w:spacing w:lineRule="auto"/>
      </w:pPr>
      <w:r>
        <w:rPr/>
        <w:t xml:space="preserve">Security Considerations</w:t>
      </w:r>
    </w:p>
    <w:p>
      <w:pPr>
        <w:numPr>
          <w:ilvl w:val="0"/>
          <w:numId w:val="58"/>
        </w:numPr>
        <w:spacing w:lineRule="auto"/>
      </w:pPr>
      <w:r>
        <w:rPr>
          <w:b/>
        </w:rPr>
        <w:t xml:space="preserve">Default JWT secret.</w:t>
      </w:r>
      <w:r>
        <w:rPr/>
        <w:t xml:space="preserve">jwt_secret_key</w:t>
      </w:r>
      <w:r>
        <w:rPr/>
        <w:t xml:space="preserve"> defaults to the literal string </w:t>
      </w:r>
      <w:r>
        <w:rPr/>
        <w:t xml:space="preserve">"change-me-in-production"</w:t>
      </w:r>
      <w:r>
        <w:rPr/>
        <w:t xml:space="preserve"> if left unset (</w:t>
      </w:r>
      <w:r>
        <w:rPr/>
        <w:t xml:space="preserve">app/core/config.py</w:t>
      </w:r>
      <w:r>
        <w:rPr/>
        <w:t xml:space="preserve"> line 23) — a real risk if that default ships unchanged into a running deployment. The Windows installer path mitigates this by generating a secret via a CSPRNG (</w:t>
      </w:r>
      <w:r>
        <w:rPr/>
        <w:t xml:space="preserve">New-RandomSecret</w:t>
      </w:r>
      <w:r>
        <w:rPr/>
        <w:t xml:space="preserve">, .NET </w:t>
      </w:r>
      <w:r>
        <w:rPr/>
        <w:t xml:space="preserve">RandomNumberGenerator</w:t>
      </w:r>
      <w:r>
        <w:rPr/>
        <w:t xml:space="preserve">) and writing it into an ACL-locked </w:t>
      </w:r>
      <w:r>
        <w:rPr/>
        <w:t xml:space="preserve">.env</w:t>
      </w:r>
      <w:r>
        <w:rPr/>
        <w:t xml:space="preserve">, but the underlying application-level default itself remains unsafe if that generation step is ever bypassed.</w:t>
      </w:r>
    </w:p>
    <w:p>
      <w:pPr>
        <w:numPr>
          <w:ilvl w:val="0"/>
          <w:numId w:val="58"/>
        </w:numPr>
        <w:spacing w:lineRule="auto"/>
      </w:pPr>
      <w:r>
        <w:rPr>
          <w:b/>
        </w:rPr>
        <w:t xml:space="preserve">No rate limiting on </w:t>
      </w:r>
      <w:r>
        <w:rPr>
          <w:b/>
        </w:rPr>
        <w:t xml:space="preserve">/auth/register</w:t>
      </w:r>
      <w:r>
        <w:rPr>
          <w:b/>
        </w:rPr>
        <w:t xml:space="preserve">.</w:t>
      </w:r>
      <w:r>
        <w:rPr/>
        <w:t xml:space="preserve"> Two Redis fixed-window rate limiters exist in the codebase: one on </w:t>
      </w:r>
      <w:r>
        <w:rPr/>
        <w:t xml:space="preserve">POST /lookup/stream</w:t>
      </w:r>
      <w:r>
        <w:rPr/>
        <w:t xml:space="preserve"> (10 calls/60s per user) and one added in a later mission-critical-reliability review (v0.2.3) on </w:t>
      </w:r>
      <w:r>
        <w:rPr/>
        <w:t xml:space="preserve">POST /auth/login</w:t>
      </w:r>
      <w:r>
        <w:rPr/>
        <w:t xml:space="preserve"> (10 attempts/60s per account, keyed by email), both configurable and both returning an error once exceeded. </w:t>
      </w:r>
      <w:r>
        <w:rPr/>
        <w:t xml:space="preserve">POST /auth/register</w:t>
      </w:r>
      <w:r>
        <w:rPr/>
        <w:t xml:space="preserve"> still has no rate limiting at all — no built-in throttling against repeated registration attempts.</w:t>
      </w:r>
    </w:p>
    <w:p>
      <w:pPr>
        <w:numPr>
          <w:ilvl w:val="0"/>
          <w:numId w:val="58"/>
        </w:numPr>
        <w:spacing w:lineRule="auto"/>
      </w:pPr>
      <w:r>
        <w:rPr>
          <w:b/>
        </w:rPr>
        <w:t xml:space="preserve">CORS lockdown outside debug mode.</w:t>
      </w:r>
      <w:r>
        <w:rPr/>
        <w:t xml:space="preserve">app/main.py</w:t>
      </w:r>
      <w:r>
        <w:rPr/>
        <w:t xml:space="preserve"> (lines 27-33) sets </w:t>
      </w:r>
      <w:r>
        <w:rPr/>
        <w:t xml:space="preserve">allow_origins=["http://localhost:3000"]</w:t>
      </w:r>
      <w:r>
        <w:rPr/>
        <w:t xml:space="preserve"> only when </w:t>
      </w:r>
      <w:r>
        <w:rPr/>
        <w:t xml:space="preserve">settings.debug</w:t>
      </w:r>
      <w:r>
        <w:rPr/>
        <w:t xml:space="preserve"> is </w:t>
      </w:r>
      <w:r>
        <w:rPr/>
        <w:t xml:space="preserve">True</w:t>
      </w:r>
      <w:r>
        <w:rPr/>
        <w:t xml:space="preserve"> (the default); otherwise </w:t>
      </w:r>
      <w:r>
        <w:rPr/>
        <w:t xml:space="preserve">allow_origins=[]</w:t>
      </w:r>
      <w:r>
        <w:rPr/>
        <w:t xml:space="preserve">. A </w:t>
      </w:r>
      <w:r>
        <w:rPr/>
        <w:t xml:space="preserve">DEBUG=false</w:t>
      </w:r>
      <w:r>
        <w:rPr/>
        <w:t xml:space="preserve"> deployment therefore permits </w:t>
      </w:r>
      <w:r>
        <w:rPr>
          <w:b/>
        </w:rPr>
        <w:t xml:space="preserve">zero</w:t>
      </w:r>
      <w:r>
        <w:rPr/>
        <w:t xml:space="preserve"> cross-origin browser requests until the source code itself is edited — there is no </w:t>
      </w:r>
      <w:r>
        <w:rPr/>
        <w:t xml:space="preserve">CORS_ORIGINS</w:t>
      </w:r>
      <w:r>
        <w:rPr/>
        <w:t xml:space="preserve"> environment variable to configure this without a code change.</w:t>
      </w:r>
    </w:p>
    <w:p>
      <w:pPr>
        <w:numPr>
          <w:ilvl w:val="0"/>
          <w:numId w:val="58"/>
        </w:numPr>
        <w:spacing w:lineRule="auto"/>
      </w:pPr>
      <w:r>
        <w:rPr>
          <w:b/>
        </w:rPr>
        <w:t xml:space="preserve">Network exposure nuance.</w:t>
      </w:r>
      <w:r>
        <w:rPr/>
        <w:t xml:space="preserve"> Every datastore port binding in </w:t>
      </w:r>
      <w:r>
        <w:rPr/>
        <w:t xml:space="preserve">docker-compose.yml</w:t>
      </w:r>
      <w:r>
        <w:rPr/>
        <w:t xml:space="preserve"> (</w:t>
      </w:r>
      <w:r>
        <w:rPr/>
        <w:t xml:space="preserve">postgres</w:t>
      </w:r>
      <w:r>
        <w:rPr/>
        <w:t xml:space="preserve">, </w:t>
      </w:r>
      <w:r>
        <w:rPr/>
        <w:t xml:space="preserve">redis</w:t>
      </w:r>
      <w:r>
        <w:rPr/>
        <w:t xml:space="preserve">, </w:t>
      </w:r>
      <w:r>
        <w:rPr/>
        <w:t xml:space="preserve">neo4j</w:t>
      </w:r>
      <w:r>
        <w:rPr/>
        <w:t xml:space="preserve"> x2, </w:t>
      </w:r>
      <w:r>
        <w:rPr/>
        <w:t xml:space="preserve">opensearch</w:t>
      </w:r>
      <w:r>
        <w:rPr/>
        <w:t xml:space="preserve">) uses the </w:t>
      </w:r>
      <w:r>
        <w:rPr/>
        <w:t xml:space="preserve">127.0.0.1:&lt;port&gt;:&lt;container_port&gt;</w:t>
      </w:r>
      <w:r>
        <w:rPr/>
        <w:t xml:space="preserve"> form, which is syntactically bound to loopback only. The </w:t>
      </w:r>
      <w:r>
        <w:rPr/>
        <w:t xml:space="preserve">backend</w:t>
      </w:r>
      <w:r>
        <w:rPr/>
        <w:t xml:space="preserve"> and </w:t>
      </w:r>
      <w:r>
        <w:rPr/>
        <w:t xml:space="preserve">frontend</w:t>
      </w:r>
      <w:r>
        <w:rPr/>
        <w:t xml:space="preserve"> ports, by contrast, are published without an explicit host binding (</w:t>
      </w:r>
      <w:r>
        <w:rPr/>
        <w:t xml:space="preserve">"${HOST_PORT_BACKEND:-8000}:8000"</w:t>
      </w:r>
      <w:r>
        <w:rPr/>
        <w:t xml:space="preserve">), which is Docker's shorthand for publishing on all host interfaces.</w:t>
      </w:r>
    </w:p>
    <w:p>
      <w:pPr>
        <w:numPr>
          <w:ilvl w:val="0"/>
          <w:numId w:val="58"/>
        </w:numPr>
        <w:spacing w:lineRule="auto"/>
      </w:pPr>
      <w:r>
        <w:rPr>
          <w:b/>
        </w:rPr>
        <w:t xml:space="preserve">Minimal input validation on the lookup value.</w:t>
      </w:r>
      <w:r>
        <w:rPr/>
        <w:t xml:space="preserve">LookupCreateRequest.value</w:t>
      </w:r>
      <w:r>
        <w:rPr/>
        <w:t xml:space="preserve"> is an unconstrained string server-side (</w:t>
      </w:r>
      <w:r>
        <w:rPr/>
        <w:t xml:space="preserve">app/schemas/lookup.py</w:t>
      </w:r>
      <w:r>
        <w:rPr/>
        <w:t xml:space="preserve">); IOC-type detection (</w:t>
      </w:r>
      <w:r>
        <w:rPr/>
        <w:t xml:space="preserve">app/ioc/detector.py</w:t>
      </w:r>
      <w:r>
        <w:rPr/>
        <w:t xml:space="preserve">) is regex/heuristic classification, not sanitization. </w:t>
      </w:r>
      <w:r>
        <w:rPr/>
        <w:t xml:space="preserve">RegisterRequest.password</w:t>
      </w:r>
      <w:r>
        <w:rPr/>
        <w:t xml:space="preserve"> has a server-side 8-character minimum (</w:t>
      </w:r>
      <w:r>
        <w:rPr/>
        <w:t xml:space="preserve">Field(min_length=8, ...)</w:t>
      </w:r>
      <w:r>
        <w:rPr/>
        <w:t xml:space="preserve">, </w:t>
      </w:r>
      <w:r>
        <w:rPr/>
        <w:t xml:space="preserve">app/schemas/auth.py</w:t>
      </w:r>
      <w:r>
        <w:rPr/>
        <w:t xml:space="preserve">) applied to every registration, though no complexity constraint beyond that length floor — the Setup Wizard's own 8-character minimum (</w:t>
      </w:r>
      <w:r>
        <w:rPr/>
        <w:t xml:space="preserve">Setup-Wizard.ps1</w:t>
      </w:r>
      <w:r>
        <w:rPr/>
        <w:t xml:space="preserve"> line 350) matches this backend constraint rather than substituting for it.</w:t>
      </w:r>
    </w:p>
    <w:p>
      <w:pPr>
        <w:pStyle w:val="Heading2"/>
        <w:spacing w:lineRule="auto"/>
      </w:pPr>
      <w:r>
        <w:rPr/>
        <w:t xml:space="preserve">Testing Coverage</w:t>
      </w:r>
    </w:p>
    <w:p>
      <w:pPr>
        <w:spacing w:lineRule="auto"/>
      </w:pPr>
      <w:r>
        <w:rPr/>
        <w:t xml:space="preserve">Automated test coverage exists on the backend but not on the frontend:</w:t>
      </w:r>
    </w:p>
    <w:p>
      <w:pPr>
        <w:numPr>
          <w:ilvl w:val="0"/>
          <w:numId w:val="59"/>
        </w:numPr>
        <w:spacing w:lineRule="auto"/>
      </w:pPr>
      <w:r>
        <w:rPr>
          <w:b/>
        </w:rPr>
        <w:t xml:space="preserve">Backend</w:t>
      </w:r>
      <w:r>
        <w:rPr/>
        <w:t xml:space="preserve">: </w:t>
      </w:r>
      <w:r>
        <w:rPr/>
        <w:t xml:space="preserve">backend/app/tests/unit/</w:t>
      </w:r>
      <w:r>
        <w:rPr/>
        <w:t xml:space="preserve"> (13 files, ~1,486 lines) and </w:t>
      </w:r>
      <w:r>
        <w:rPr/>
        <w:t xml:space="preserve">backend/app/tests/integration/</w:t>
      </w:r>
      <w:r>
        <w:rPr/>
        <w:t xml:space="preserve"> (3 files, ~1,009 lines), using pytest, pytest-asyncio, pytest-cov, and respx (HTTP mocking). Integration tests exercise the real orchestrator end-to-end against </w:t>
      </w:r>
      <w:r>
        <w:rPr>
          <w:b/>
        </w:rPr>
        <w:t xml:space="preserve">fake</w:t>
      </w:r>
      <w:r>
        <w:rPr/>
        <w:t xml:space="preserve">BaseProvider</w:t>
      </w:r>
      <w:r>
        <w:rPr/>
        <w:t xml:space="preserve"> subclasses (never the real network-hitting connectors) with respx-mocked HTTP and a real Redis dependency reached via docker-compose (auto-skipped if Redis is unreachable) — covering parallel (not sequential) fan-out, partial-provider-failure isolation, cache hit/miss behavior, and unsupported/not-configured short-circuits.</w:t>
      </w:r>
    </w:p>
    <w:p>
      <w:pPr>
        <w:numPr>
          <w:ilvl w:val="0"/>
          <w:numId w:val="59"/>
        </w:numPr>
        <w:spacing w:lineRule="auto"/>
      </w:pPr>
      <w:r>
        <w:rPr>
          <w:b/>
        </w:rPr>
        <w:t xml:space="preserve">Frontend</w:t>
      </w:r>
      <w:r>
        <w:rPr/>
        <w:t xml:space="preserve">: </w:t>
      </w:r>
      <w:r>
        <w:rPr/>
        <w:t xml:space="preserve">package.json</w:t>
      </w:r>
      <w:r>
        <w:rPr/>
        <w:t xml:space="preserve"> declares </w:t>
      </w:r>
      <w:r>
        <w:rPr/>
        <w:t xml:space="preserve">"test": "vitest run"</w:t>
      </w:r>
      <w:r>
        <w:rPr/>
        <w:t xml:space="preserve"> and lists Vitest as a devDependency, but a repo-wide search for </w:t>
      </w:r>
      <w:r>
        <w:rPr/>
        <w:t xml:space="preserve">*.test.*</w:t>
      </w:r>
      <w:r>
        <w:rPr/>
        <w:t xml:space="preserve">/</w:t>
      </w:r>
      <w:r>
        <w:rPr/>
        <w:t xml:space="preserve">*.spec.*</w:t>
      </w:r>
      <w:r>
        <w:rPr/>
        <w:t xml:space="preserve"> files under </w:t>
      </w:r>
      <w:r>
        <w:rPr/>
        <w:t xml:space="preserve">frontend/</w:t>
      </w:r>
      <w:r>
        <w:rPr/>
        <w:t xml:space="preserve"> (excluding </w:t>
      </w:r>
      <w:r>
        <w:rPr/>
        <w:t xml:space="preserve">node_modules</w:t>
      </w:r>
      <w:r>
        <w:rPr/>
        <w:t xml:space="preserve">/</w:t>
      </w:r>
      <w:r>
        <w:rPr/>
        <w:t xml:space="preserve">.next</w:t>
      </w:r>
      <w:r>
        <w:rPr/>
        <w:t xml:space="preserve">) found </w:t>
      </w:r>
      <w:r>
        <w:rPr>
          <w:b/>
        </w:rPr>
        <w:t xml:space="preserve">zero test files</w:t>
      </w:r>
      <w:r>
        <w:rPr/>
        <w:t xml:space="preserve">. The test runner is configured; no actual frontend tests exist today.</w:t>
      </w:r>
    </w:p>
    <w:p>
      <w:pPr>
        <w:numPr>
          <w:ilvl w:val="0"/>
          <w:numId w:val="59"/>
        </w:numPr>
        <w:spacing w:lineRule="auto"/>
      </w:pPr>
      <w:r>
        <w:rPr>
          <w:b/>
        </w:rPr>
        <w:t xml:space="preserve">No coverage percentages are asserted anywhere in the source.</w:t>
      </w:r>
      <w:r>
        <w:rPr/>
        <w:t xml:space="preserve"> Consistent with this document's no-fabrication policy, this appendix states only which test files and frameworks exist, not an estimated or inferred coverage percentage — anything not explicitly measured in the source is "not measured," not approximated.</w:t>
      </w:r>
    </w:p>
    <w:p>
      <w:pPr>
        <w:numPr>
          <w:ilvl w:val="0"/>
          <w:numId w:val="59"/>
        </w:numPr>
        <w:spacing w:lineRule="auto"/>
      </w:pPr>
      <w:r>
        <w:rPr>
          <w:b/>
        </w:rPr>
        <w:t xml:space="preserve">A scripted-UI-testing caveat, not a product defect.</w:t>
      </w:r>
      <w:r>
        <w:rPr/>
        <w:t xml:space="preserve"> While automating the Setup Wizard's AI-backend dropdown for this session's testing, driving it via external Win32 message injection (synthetic </w:t>
      </w:r>
      <w:r>
        <w:rPr/>
        <w:t xml:space="preserve">SendMessage</w:t>
      </w:r>
      <w:r>
        <w:rPr/>
        <w:t xml:space="preserve">/</w:t>
      </w:r>
      <w:r>
        <w:rPr/>
        <w:t xml:space="preserve">PostMessage</w:t>
      </w:r>
      <w:r>
        <w:rPr/>
        <w:t xml:space="preserve">-style input, not a real mouse and keyboard) did not reliably trigger the panel-switch visual update for the newly-selected backend. This was root-caused to a cross-process WinForms event-notification quirk specific to synthetic input delivery, not to the underlying panel-switch code — which is ordinary WinForms event-handler logic, identical in pattern to the four backends that shipped before Groq, and was not observed to misbehave under real, mouse-driven use. It is recorded here in the same spirit as the rest of this appendix: this document does not claim exhaustive UI verification beyond what was actually exercised, and a testing-tool artifact should not be mistaken for an application bug.</w:t>
      </w:r>
    </w:p>
    <w:p>
      <w:r>
        <w:br w:type="page"/>
      </w:r>
    </w:p>
    <w:p>
      <w:pPr>
        <w:pStyle w:val="Heading1"/>
        <w:spacing w:lineRule="auto"/>
      </w:pPr>
      <w:r>
        <w:rPr/>
        <w:t xml:space="preserve">Future Roadmap</w:t>
      </w:r>
    </w:p>
    <w:p>
      <w:pPr>
        <w:spacing w:lineRule="auto"/>
      </w:pPr>
      <w:r>
        <w:rPr/>
        <w:t xml:space="preserve">This section closes the technical appendix by separating what HORIZON GRID actually does today from what its existing architecture is positioned to grow into. An </w:t>
      </w:r>
      <w:r>
        <w:rPr>
          <w:b/>
        </w:rPr>
        <w:t xml:space="preserve">IOC (Indicator of Compromise)</w:t>
      </w:r>
      <w:r>
        <w:rPr/>
        <w:t xml:space="preserve"> is the artifact a user submits for lookup — an IP address, domain, URL, file hash, CVE ID, etc. A </w:t>
      </w:r>
      <w:r>
        <w:rPr>
          <w:b/>
        </w:rPr>
        <w:t xml:space="preserve">provider</w:t>
      </w:r>
      <w:r>
        <w:rPr/>
        <w:t xml:space="preserve"> is a connector to one external threat-intelligence, vulnerability, or OSINT data source that the platform queries for a given IOC. Everything in "Current Capabilities" below is a recap of functionality documented elsewhere in this appendix and verified directly against source code; it introduces no new claims. Everything in "Future Possibilities" is explicitly speculative and is scoped strictly to work that the existing architecture already provisions for.</w:t>
      </w:r>
    </w:p>
    <w:p>
      <w:pPr>
        <w:pStyle w:val="Heading2"/>
        <w:spacing w:lineRule="auto"/>
      </w:pPr>
      <w:r>
        <w:rPr/>
        <w:t xml:space="preserve">Current Capabilities</w:t>
      </w:r>
    </w:p>
    <w:p>
      <w:pPr>
        <w:spacing w:lineRule="auto"/>
      </w:pPr>
      <w:r>
        <w:rPr/>
        <w:t xml:space="preserve">(Updated for v0.2.4 — the counts below were re-verified directly against </w:t>
      </w:r>
      <w:r>
        <w:rPr/>
        <w:t xml:space="preserve">backend/app/ioc/types.py</w:t>
      </w:r>
      <w:r>
        <w:rPr/>
        <w:t xml:space="preserve">, </w:t>
      </w:r>
      <w:r>
        <w:rPr/>
        <w:t xml:space="preserve">backend/app/providers/registry.py</w:t>
      </w:r>
      <w:r>
        <w:rPr/>
        <w:t xml:space="preserve">, and </w:t>
      </w:r>
      <w:r>
        <w:rPr/>
        <w:t xml:space="preserve">backend/app/core/runtime_config.py</w:t>
      </w:r>
      <w:r>
        <w:rPr/>
        <w:t xml:space="preserve"> at documentation time; the AI-backend and provider counts in earlier revisions of this page were stale and have been corrected.)</w:t>
      </w:r>
    </w:p>
    <w:p>
      <w:pPr>
        <w:numPr>
          <w:ilvl w:val="0"/>
          <w:numId w:val="60"/>
        </w:numPr>
        <w:spacing w:lineRule="auto"/>
      </w:pPr>
      <w:r>
        <w:rPr>
          <w:b/>
        </w:rPr>
        <w:t xml:space="preserve">Streaming lookup pipeline</w:t>
      </w:r>
      <w:r>
        <w:rPr/>
        <w:t xml:space="preserve">: </w:t>
      </w:r>
      <w:r>
        <w:rPr/>
        <w:t xml:space="preserve">POST /api/v1/lookup/stream</w:t>
      </w:r>
      <w:r>
        <w:rPr/>
        <w:t xml:space="preserve"> is a Server-Sent Events (SSE) endpoint, rate-limited to 10 calls/60s per user by default (Redis fixed-window limiter). It classifies the submitted value into one of 32 </w:t>
      </w:r>
      <w:r>
        <w:rPr/>
        <w:t xml:space="preserve">IOCType</w:t>
      </w:r>
      <w:r>
        <w:rPr/>
        <w:t xml:space="preserve"> values, then fans out concurrently to every registered provider that supports that type.</w:t>
      </w:r>
    </w:p>
    <w:p>
      <w:pPr>
        <w:numPr>
          <w:ilvl w:val="0"/>
          <w:numId w:val="60"/>
        </w:numPr>
        <w:spacing w:lineRule="auto"/>
      </w:pPr>
      <w:r>
        <w:rPr>
          <w:b/>
        </w:rPr>
        <w:t xml:space="preserve">18 working providers</w:t>
      </w:r>
      <w:r>
        <w:rPr/>
        <w:t xml:space="preserve"> — </w:t>
      </w:r>
      <w:r>
        <w:rPr/>
        <w:t xml:space="preserve">virustotal</w:t>
      </w:r>
      <w:r>
        <w:rPr/>
        <w:t xml:space="preserve">, </w:t>
      </w:r>
      <w:r>
        <w:rPr/>
        <w:t xml:space="preserve">abuseipdb</w:t>
      </w:r>
      <w:r>
        <w:rPr/>
        <w:t xml:space="preserve">, </w:t>
      </w:r>
      <w:r>
        <w:rPr/>
        <w:t xml:space="preserve">otx</w:t>
      </w:r>
      <w:r>
        <w:rPr/>
        <w:t xml:space="preserve">, </w:t>
      </w:r>
      <w:r>
        <w:rPr/>
        <w:t xml:space="preserve">urlhaus</w:t>
      </w:r>
      <w:r>
        <w:rPr/>
        <w:t xml:space="preserve">, </w:t>
      </w:r>
      <w:r>
        <w:rPr/>
        <w:t xml:space="preserve">threatfox</w:t>
      </w:r>
      <w:r>
        <w:rPr/>
        <w:t xml:space="preserve">, </w:t>
      </w:r>
      <w:r>
        <w:rPr/>
        <w:t xml:space="preserve">malwarebazaar</w:t>
      </w:r>
      <w:r>
        <w:rPr/>
        <w:t xml:space="preserve">, </w:t>
      </w:r>
      <w:r>
        <w:rPr/>
        <w:t xml:space="preserve">crtsh</w:t>
      </w:r>
      <w:r>
        <w:rPr/>
        <w:t xml:space="preserve">, </w:t>
      </w:r>
      <w:r>
        <w:rPr/>
        <w:t xml:space="preserve">nvd</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urlscan</w:t>
      </w:r>
      <w:r>
        <w:rPr/>
        <w:t xml:space="preserve">, </w:t>
      </w:r>
      <w:r>
        <w:rPr/>
        <w:t xml:space="preserve">google_safe_browsing</w:t>
      </w:r>
      <w:r>
        <w:rPr/>
        <w:t xml:space="preserve">, </w:t>
      </w:r>
      <w:r>
        <w:rPr/>
        <w:t xml:space="preserve">hybrid_analysis</w:t>
      </w:r>
      <w:r>
        <w:rPr/>
        <w:t xml:space="preserve">, </w:t>
      </w:r>
      <w:r>
        <w:rPr/>
        <w:t xml:space="preserve">spamhaus</w:t>
      </w:r>
      <w:r>
        <w:rPr/>
        <w:t xml:space="preserve">, </w:t>
      </w:r>
      <w:r>
        <w:rPr/>
        <w:t xml:space="preserve">phishtank</w:t>
      </w:r>
      <w:r>
        <w:rPr/>
        <w:t xml:space="preserve">, </w:t>
      </w:r>
      <w:r>
        <w:rPr/>
        <w:t xml:space="preserve">censys</w:t>
      </w:r>
      <w:r>
        <w:rPr/>
        <w:t xml:space="preserve">, and the Internet Intelligence Collector — each normalized behind a common </w:t>
      </w:r>
      <w:r>
        <w:rPr/>
        <w:t xml:space="preserve">BaseProvider</w:t>
      </w:r>
      <w:r>
        <w:rPr/>
        <w:t xml:space="preserve"> interface with per-provider timeout/retry and Redis-backed result caching. See the Provider Guide for the full per-provider breakdown.</w:t>
      </w:r>
    </w:p>
    <w:p>
      <w:pPr>
        <w:numPr>
          <w:ilvl w:val="0"/>
          <w:numId w:val="60"/>
        </w:numPr>
        <w:spacing w:lineRule="auto"/>
      </w:pPr>
      <w:r>
        <w:rPr>
          <w:b/>
        </w:rPr>
        <w:t xml:space="preserve">Eleven interchangeable AI backends</w:t>
      </w:r>
      <w:r>
        <w:rPr/>
        <w:t xml:space="preserve">: Ollama (local, no key), Anthropic, AWS Bedrock, Google Gemini, Groq, OpenAI, Kimi (Moonshot AI), DeepSeek, xAI (Grok), Mistral AI, and OpenRouter — all exposed through one identical </w:t>
      </w:r>
      <w:r>
        <w:rPr/>
        <w:t xml:space="preserve">call_claude_json()</w:t>
      </w:r>
      <w:r>
        <w:rPr/>
        <w:t xml:space="preserve"> method, so the rest of the application never branches on which backend is active. Backend selection fails fast with a clear error if the chosen backend isn't configured, and switching is a runtime action with no restart.</w:t>
      </w:r>
    </w:p>
    <w:p>
      <w:pPr>
        <w:numPr>
          <w:ilvl w:val="0"/>
          <w:numId w:val="60"/>
        </w:numPr>
        <w:spacing w:lineRule="auto"/>
      </w:pPr>
      <w:r>
        <w:rPr>
          <w:b/>
        </w:rPr>
        <w:t xml:space="preserve">A deterministic, non-AI threat-scoring engine</w:t>
      </w:r>
      <w:r>
        <w:rPr/>
        <w:t xml:space="preserve"> (versioned, currently </w:t>
      </w:r>
      <w:r>
        <w:rPr/>
        <w:t xml:space="preserve">1.0</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from provider-verdict consensus and correlation-graph evidence </w:t>
      </w:r>
      <w:r>
        <w:rPr/>
        <w:t xml:space="preserve">before</w:t>
      </w:r>
      <w:r>
        <w:rPr/>
        <w:t xml:space="preserve"> the AI's final assessment runs — the AI receives that score as a fixed input to narrate and is validated against it, rather than being the source of it. See the Threat Scoring guide for the full formula.</w:t>
      </w:r>
    </w:p>
    <w:p>
      <w:pPr>
        <w:numPr>
          <w:ilvl w:val="0"/>
          <w:numId w:val="60"/>
        </w:numPr>
        <w:spacing w:lineRule="auto"/>
      </w:pPr>
      <w:r>
        <w:rPr>
          <w:b/>
        </w:rPr>
        <w:t xml:space="preserve">Two distinct, separately-persisted AI call types</w:t>
      </w:r>
      <w:r>
        <w:rPr/>
        <w:t xml:space="preserve">: a per-provider summary (grounded only in that provider's own returned data) for every provider that returned data, and one consolidated final assessment grounded only in the per-provider summaries, the correlation engine's output, and the already-computed threat score — never in raw provider JSON directly.</w:t>
      </w:r>
    </w:p>
    <w:p>
      <w:pPr>
        <w:numPr>
          <w:ilvl w:val="0"/>
          <w:numId w:val="60"/>
        </w:numPr>
        <w:spacing w:lineRule="auto"/>
      </w:pPr>
      <w:r>
        <w:rPr>
          <w:b/>
        </w:rPr>
        <w:t xml:space="preserve">Anti-fabrication safeguards</w:t>
      </w:r>
      <w:r>
        <w:rPr/>
        <w:t xml:space="preserve">: a no-evidence short-circuit that returns a hardcoded "unknown" verdict without calling the AI at all when there is nothing to summarize; a grounding pass that strips any AI-cited provider agreement/disagreement that isn't backed by real correlation data, and flags any AI-cited MITRE ATT&amp;CK technique that isn't backed by a real correlation edge as ungrounded; an equivalent evidence-citation stripping/backfill pass on the analyst-facing explanation features; a persisted, honest AI-outcome signal (real success / correct no-evidence skip / disclosed failure) that feeds the Executive Dashboard's AI success-rate KPI instead of a fabricated number.</w:t>
      </w:r>
    </w:p>
    <w:p>
      <w:pPr>
        <w:numPr>
          <w:ilvl w:val="0"/>
          <w:numId w:val="60"/>
        </w:numPr>
        <w:spacing w:lineRule="auto"/>
      </w:pPr>
      <w:r>
        <w:rPr>
          <w:b/>
        </w:rPr>
        <w:t xml:space="preserve">Correlation engine</w:t>
      </w:r>
      <w:r>
        <w:rPr/>
        <w:t xml:space="preserve">: a pure, I/O-free function that extracts typed relationship edges (resolved IPs, related hashes, malware families, MITRE techniques, CVEs, and more) from normalized provider fields, boosts confidence per corroborating provider, and returns deduplicated facts and provider-agreement data. Edges are persisted to Postgres and streamed live.</w:t>
      </w:r>
    </w:p>
    <w:p>
      <w:pPr>
        <w:numPr>
          <w:ilvl w:val="0"/>
          <w:numId w:val="60"/>
        </w:numPr>
        <w:spacing w:lineRule="auto"/>
      </w:pPr>
      <w:r>
        <w:rPr>
          <w:b/>
        </w:rPr>
        <w:t xml:space="preserve">Deterministic evidence ledger</w:t>
      </w:r>
      <w:r>
        <w:rPr/>
        <w:t xml:space="preserve">: evidence items are built directly from provider results, AI summaries, and correlation edges — explicitly not AI-generated — so downstream AI explanations have real, checkable records to cite.</w:t>
      </w:r>
    </w:p>
    <w:p>
      <w:pPr>
        <w:numPr>
          <w:ilvl w:val="0"/>
          <w:numId w:val="60"/>
        </w:numPr>
        <w:spacing w:lineRule="auto"/>
      </w:pPr>
      <w:r>
        <w:rPr>
          <w:b/>
        </w:rPr>
        <w:t xml:space="preserve">Grounded AI analyst features</w:t>
      </w:r>
      <w:r>
        <w:rPr/>
        <w:t xml:space="preserve"> (WHY malicious, What Is This, Provider Disagreement, False-Positive Assessment, Challenge/red-team, Smart Next Actions, Intelligence Gaps, Score Explanation) plus Copilot Q&amp;A, IOC comparison, and hunting-query/detection-rule generation — all restricted to citing indicators and evidence that genuinely exist in the correlation graph and evidence ledger.</w:t>
      </w:r>
    </w:p>
    <w:p>
      <w:pPr>
        <w:numPr>
          <w:ilvl w:val="0"/>
          <w:numId w:val="60"/>
        </w:numPr>
        <w:spacing w:lineRule="auto"/>
      </w:pPr>
      <w:r>
        <w:rPr>
          <w:b/>
        </w:rPr>
        <w:t xml:space="preserve">Executive Dashboard and Provider Health</w:t>
      </w:r>
      <w:r>
        <w:rPr/>
        <w:t xml:space="preserve">: live KPI tiles (active investigations, critical/high-risk IOC count, open case counts, average threat score, provider health percentage, AI success rate) and a dedicated Provider Health page tracking real per-provider status across 1h/24h/7d/30d rolling windows, backed by real query aggregates — never a hardcoded display value.</w:t>
      </w:r>
    </w:p>
    <w:p>
      <w:pPr>
        <w:numPr>
          <w:ilvl w:val="0"/>
          <w:numId w:val="60"/>
        </w:numPr>
        <w:spacing w:lineRule="auto"/>
      </w:pPr>
      <w:r>
        <w:rPr>
          <w:b/>
        </w:rPr>
        <w:t xml:space="preserve">Security Assessment Toolkit</w:t>
      </w:r>
      <w:r>
        <w:rPr/>
        <w:t xml:space="preserve">: an active (not passive) Nmap-based port/service scan, DNS record lookup, TLS certificate inspection, and HTTP security-header check against a target the analyst explicitly confirms authorization for, with real cancellation support. Findings feed the investigation's risk/confidence floor without inflating </w:t>
      </w:r>
      <w:r>
        <w:rPr/>
        <w:t xml:space="preserve">malicious_probability</w:t>
      </w:r>
      <w:r>
        <w:rPr/>
        <w:t xml:space="preserve"> on their own.</w:t>
      </w:r>
    </w:p>
    <w:p>
      <w:pPr>
        <w:numPr>
          <w:ilvl w:val="0"/>
          <w:numId w:val="60"/>
        </w:numPr>
        <w:spacing w:lineRule="auto"/>
      </w:pPr>
      <w:r>
        <w:rPr>
          <w:b/>
        </w:rPr>
        <w:t xml:space="preserve">Postgres as the sole system of record</w:t>
      </w:r>
      <w:r>
        <w:rPr/>
        <w:t xml:space="preserve">: lookups, provider results, AI summaries, correlation edges, evidence items, cases, users, and security-assessment runs/findings are all written there today; it is the only datastore actually populated during a lookup.</w:t>
      </w:r>
    </w:p>
    <w:p>
      <w:pPr>
        <w:numPr>
          <w:ilvl w:val="0"/>
          <w:numId w:val="60"/>
        </w:numPr>
        <w:spacing w:lineRule="auto"/>
      </w:pPr>
      <w:r>
        <w:rPr>
          <w:b/>
        </w:rPr>
        <w:t xml:space="preserve">Redis in three confirmed real roles</w:t>
      </w:r>
      <w:r>
        <w:rPr/>
        <w:t xml:space="preserve">: provider-result cache, per-user rate limiter on lookup creation, and Celery broker/result backend.</w:t>
      </w:r>
    </w:p>
    <w:p>
      <w:pPr>
        <w:numPr>
          <w:ilvl w:val="0"/>
          <w:numId w:val="60"/>
        </w:numPr>
        <w:spacing w:lineRule="auto"/>
      </w:pPr>
      <w:r>
        <w:rPr>
          <w:b/>
        </w:rPr>
        <w:t xml:space="preserve">Scheduled OSINT re-crawl</w:t>
      </w:r>
      <w:r>
        <w:rPr/>
        <w:t xml:space="preserve">: a single Celery Beat job (</w:t>
      </w:r>
      <w:r>
        <w:rPr/>
        <w:t xml:space="preserve">run_osint_crawl</w:t>
      </w:r>
      <w:r>
        <w:rPr/>
        <w:t xml:space="preserve">, hourly) re-crawls OSINT sources for IOCs looked up in the last 24 hours; the synchronous lookup pipeline itself does not go through Celery.</w:t>
      </w:r>
    </w:p>
    <w:p>
      <w:pPr>
        <w:numPr>
          <w:ilvl w:val="0"/>
          <w:numId w:val="60"/>
        </w:numPr>
        <w:spacing w:lineRule="auto"/>
      </w:pPr>
      <w:r>
        <w:rPr>
          <w:b/>
        </w:rPr>
        <w:t xml:space="preserve">Role-based access control and auth</w:t>
      </w:r>
      <w:r>
        <w:rPr/>
        <w:t xml:space="preserve">: JWT-based authentication (first registered user automatically becomes admin; self-registration is then rejected for everyone else, who must be created by an admin from the Administration console with their role chosen up front — genuinely supporting multiple administrator accounts, not one hardcoded superuser), a 3-role permission matrix enforced via a </w:t>
      </w:r>
      <w:r>
        <w:rPr/>
        <w:t xml:space="preserve">require_permission()</w:t>
      </w:r>
      <w:r>
        <w:rPr/>
        <w:t xml:space="preserve"> dependency on every route, not just hidden in the UI.</w:t>
      </w:r>
    </w:p>
    <w:p>
      <w:pPr>
        <w:numPr>
          <w:ilvl w:val="0"/>
          <w:numId w:val="60"/>
        </w:numPr>
        <w:spacing w:lineRule="auto"/>
      </w:pPr>
      <w:r>
        <w:rPr>
          <w:b/>
        </w:rPr>
        <w:t xml:space="preserve">Windows and Linux deployment paths</w:t>
      </w:r>
      <w:r>
        <w:rPr/>
        <w:t xml:space="preserve">: an Inno Setup installer and WinForms Setup Wizard (Windows) and a </w:t>
      </w:r>
      <w:r>
        <w:rPr/>
        <w:t xml:space="preserve">.deb</w:t>
      </w:r>
      <w:r>
        <w:rPr/>
        <w:t xml:space="preserve"> package (Linux) that configure providers (each with a live "Test" button; some require an API key/token, several work without one), write secrets via a CSPRNG, and run Docker Compose as the actual runtime — plus a parallel Kubernetes/Kustomize deployment alternative.</w:t>
      </w:r>
    </w:p>
    <w:p>
      <w:pPr>
        <w:numPr>
          <w:ilvl w:val="0"/>
          <w:numId w:val="60"/>
        </w:numPr>
        <w:spacing w:lineRule="auto"/>
      </w:pPr>
      <w:r>
        <w:rPr>
          <w:b/>
        </w:rPr>
        <w:t xml:space="preserve">Automated backend test coverage</w:t>
      </w:r>
      <w:r>
        <w:rPr/>
        <w:t xml:space="preserve">: an actively maintained pytest unit + integration suite (383 passed, 39 skipped as of the v0.2.4 regression run) covering IOC detection, provider connectors, AI grounding logic, the correlation engine, the deterministic scoring engine, and the real orchestrator end-to-end.</w:t>
      </w:r>
    </w:p>
    <w:p>
      <w:pPr>
        <w:pStyle w:val="Heading2"/>
        <w:spacing w:lineRule="auto"/>
      </w:pPr>
      <w:r>
        <w:rPr/>
        <w:t xml:space="preserve">Future Possibilities</w:t>
      </w:r>
    </w:p>
    <w:p>
      <w:pPr>
        <w:spacing w:lineRule="auto"/>
      </w:pPr>
      <w:r>
        <w:rPr>
          <w:b/>
        </w:rPr>
        <w:t xml:space="preserve">None of the items below exist today. They are described here only as architecturally plausible next steps.</w:t>
      </w:r>
    </w:p>
    <w:p>
      <w:pPr>
        <w:spacing w:lineRule="auto"/>
      </w:pPr>
      <w:r>
        <w:rPr/>
        <w:t xml:space="preserve">The architecture already provisions infrastructure and patterns that go further than what is currently wired up. The items below are scoped strictly to that existing provisioning — nothing here is a new subsystem.</w:t>
      </w:r>
    </w:p>
    <w:p>
      <w:pPr>
        <w:pStyle w:val="Heading3"/>
        <w:spacing w:lineRule="auto"/>
      </w:pPr>
      <w:r>
        <w:rPr/>
        <w:t xml:space="preserve">Provisioned infrastructure with no consuming code yet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Already provisioned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"completing" it would require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graph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neo4j:5-community</w:t>
            </w:r>
          </w:p>
          <w:p>
            <w:pPr>
              <w:spacing w:lineRule="auto"/>
            </w:pPr>
            <w:r>
              <w:rPr/>
              <w:t xml:space="preserve"> container (with the APOC plugin) already runs in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neo4j_uri</w:t>
            </w:r>
          </w:p>
          <w:p>
            <w:pPr>
              <w:spacing w:lineRule="auto"/>
            </w:pPr>
            <w:r>
              <w:rPr/>
              <w:t xml:space="preserve">/</w:t>
            </w:r>
          </w:p>
          <w:p>
            <w:pPr>
              <w:spacing w:lineRule="auto"/>
            </w:pPr>
            <w:r>
              <w:rPr>
                <w:highlight w:val="lightGray"/>
              </w:rPr>
              <w:t xml:space="preserve">neo4j_user</w:t>
            </w:r>
          </w:p>
          <w:p>
            <w:pPr>
              <w:spacing w:lineRule="auto"/>
            </w:pPr>
            <w:r>
              <w:rPr/>
              <w:t xml:space="preserve">/</w:t>
            </w:r>
          </w:p>
          <w:p>
            <w:pPr>
              <w:spacing w:lineRule="auto"/>
            </w:pPr>
            <w:r>
              <w:rPr>
                <w:highlight w:val="lightGray"/>
              </w:rPr>
              <w:t xml:space="preserve">neo4j_password</w:t>
            </w:r>
          </w:p>
          <w:p>
            <w:pPr>
              <w:spacing w:lineRule="auto"/>
            </w:pPr>
            <w:r>
              <w:rPr/>
              <w:t xml:space="preserve"> config fields already exist; the </w:t>
            </w:r>
          </w:p>
          <w:p>
            <w:pPr>
              <w:spacing w:lineRule="auto"/>
            </w:pPr>
            <w:r>
              <w:rPr>
                <w:highlight w:val="lightGray"/>
              </w:rPr>
              <w:t xml:space="preserve">CorrelationEdgeRecord</w:t>
            </w:r>
          </w:p>
          <w:p>
            <w:pPr>
              <w:spacing w:lineRule="auto"/>
            </w:pPr>
            <w:r>
              <w:rPr/>
              <w:t xml:space="preserve"> model and the correlation engine's own module docstring already describe edges as intended to be "mirrored into 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 driver instantiation and Cypher read/write code — none exists anywhere in the backend today — so the graph database consumes the correlation edges it was already provisioned to store, rather than those edges living only in Postgres as they do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 indexing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opensearchproject/opensearch:2.17.0</w:t>
            </w:r>
          </w:p>
          <w:p>
            <w:pPr>
              <w:spacing w:lineRule="auto"/>
            </w:pPr>
            <w:r>
              <w:rPr/>
              <w:t xml:space="preserve"> container already runs in </w:t>
            </w:r>
          </w:p>
          <w:p>
            <w:pPr>
              <w:spacing w:lineRule="auto"/>
            </w:pPr>
            <w:r>
              <w:rPr>
                <w:highlight w:val="lightGray"/>
              </w:rPr>
              <w:t xml:space="preserve">docker-compose.yml</w:t>
            </w:r>
          </w:p>
          <w:p>
            <w:pPr>
              <w:spacing w:lineRule="auto"/>
            </w:pPr>
            <w:r>
              <w:rPr/>
              <w:t xml:space="preserve">; an </w:t>
            </w:r>
          </w:p>
          <w:p>
            <w:pPr>
              <w:spacing w:lineRule="auto"/>
            </w:pPr>
            <w:r>
              <w:rPr>
                <w:highlight w:val="lightGray"/>
              </w:rPr>
              <w:t xml:space="preserve">opensearch_url</w:t>
            </w:r>
          </w:p>
          <w:p>
            <w:pPr>
              <w:spacing w:lineRule="auto"/>
            </w:pPr>
            <w:r>
              <w:rPr/>
              <w:t xml:space="preserve"> config field already exists in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indexing pipeline and search/query code against the already-running container — zero such code exists today, so no search functionality is implemented against it.</w:t>
            </w:r>
          </w:p>
        </w:tc>
      </w:tr>
    </w:tbl>
    <w:p>
      <w:pPr>
        <w:spacing w:lineRule="auto"/>
      </w:pPr>
      <w:r>
        <w:rPr/>
      </w:r>
    </w:p>
    <w:p>
      <w:pPr>
        <w:spacing w:lineRule="auto"/>
      </w:pPr>
      <w:r>
        <w:rPr/>
        <w:t xml:space="preserve">The diagram below reflects today's actual wiring (solid lines) versus the provisioned-but-unconsumed datastores (dashed lines):</w:t>
      </w:r>
    </w:p>
    <w:p>
      <w:pPr>
        <w:spacing w:lineRule="auto"/>
      </w:pPr>
      <w:r>
        <w:rPr/>
        <w:drawing>
          <wp:inline distB="0" distL="0" distR="0" distT="0">
            <wp:extent cx="5695950" cy="1314450"/>
            <wp:effectExtent b="0" l="0" r="0" t="0"/>
            <wp:docPr id="156" name="image-bmjFDEuufPz51Ifv7pKcQ.png"/>
            <a:graphic>
              <a:graphicData uri="http://schemas.openxmlformats.org/drawingml/2006/picture">
                <pic:pic>
                  <pic:nvPicPr>
                    <pic:cNvPr id="156" name="image-bmjFDEuufPz51Ifv7pKcQ.png" descr="Figure 78"/>
                    <pic:cNvPicPr/>
                  </pic:nvPicPr>
                  <pic:blipFill>
                    <a:blip r:embed="rId161" cstate="print"/>
                    <a:srcRect b="0" l="0" r="0" t="0"/>
                    <a:stretch>
                      <a:fillRect/>
                    </a:stretch>
                  </pic:blipFill>
                  <pic:spPr>
                    <a:xfrm>
                      <a:off x="0" y="0"/>
                      <a:ext cx="5695950" cy="1314450"/>
                    </a:xfrm>
                    <a:prstGeom prst="rect"/>
                  </pic:spPr>
                </pic:pic>
              </a:graphicData>
            </a:graphic>
          </wp:inline>
        </w:drawing>
      </w:r>
    </w:p>
    <w:p>
      <w:pPr>
        <w:pStyle w:val="Heading3"/>
        <w:spacing w:lineRule="auto"/>
      </w:pPr>
      <w:r>
        <w:rPr/>
        <w:t xml:space="preserve">Extending existing patterns</w:t>
      </w:r>
    </w:p>
    <w:p>
      <w:pPr>
        <w:spacing w:lineRule="auto"/>
      </w:pPr>
      <w:r>
        <w:rPr/>
        <w:t xml:space="preserve">Two items that appeared in earlier revisions of this roadmap as </w:t>
      </w:r>
      <w:r>
        <w:rPr/>
        <w:t xml:space="preserve">future</w:t>
      </w:r>
      <w:r>
        <w:rPr/>
        <w:t xml:space="preserve"> work — expanding past 4 AI backends and past 16 providers — have since actually shipped (eleven backends, eighteen providers as of this release) and have been moved into "Current Capabilities" above rather than left here as stale forward-looking claims.</w:t>
      </w:r>
    </w:p>
    <w:p>
      <w:pPr>
        <w:numPr>
          <w:ilvl w:val="0"/>
          <w:numId w:val="61"/>
        </w:numPr>
        <w:spacing w:lineRule="auto"/>
      </w:pPr>
      <w:r>
        <w:rPr>
          <w:b/>
        </w:rPr>
        <w:t xml:space="preserve">Provider "Test" UI coverage for the remaining credential-free providers</w:t>
      </w:r>
      <w:r>
        <w:rPr/>
        <w:t xml:space="preserve">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and the stub-implemented </w:t>
      </w:r>
      <w:r>
        <w:rPr/>
        <w:t xml:space="preserve">spamhaus</w:t>
      </w:r>
      <w:r>
        <w:rPr/>
        <w:t xml:space="preserve">/</w:t>
      </w:r>
      <w:r>
        <w:rPr/>
        <w:t xml:space="preserve">phishtank</w:t>
      </w:r>
      <w:r>
        <w:rPr/>
        <w:t xml:space="preserve">) — these already have real, working backend implementations and are already </w:t>
      </w:r>
      <w:r>
        <w:rPr/>
        <w:t xml:space="preserve">requires_key = False</w:t>
      </w:r>
      <w:r>
        <w:rPr/>
        <w:t xml:space="preserve">, so extending the Setup Wizard's existing "Test" button pattern to cover them (even as a simple "no configuration needed" confirmation) would be a bounded extension of a UI pattern that already exists for the keyed providers, not a new mechanism.</w:t>
      </w:r>
    </w:p>
    <w:p>
      <w:pPr>
        <w:numPr>
          <w:ilvl w:val="0"/>
          <w:numId w:val="61"/>
        </w:numPr>
        <w:spacing w:lineRule="auto"/>
      </w:pPr>
      <w:r>
        <w:rPr>
          <w:b/>
        </w:rPr>
        <w:t xml:space="preserve">Further provider and AI-backend growth</w:t>
      </w:r>
      <w:r>
        <w:rPr/>
        <w:t xml:space="preserve"> — the registry already normalizes 18 heterogeneous sources and the AI layer already normalizes 11 backends behind one shared interface each (</w:t>
      </w:r>
      <w:r>
        <w:rPr/>
        <w:t xml:space="preserve">BaseProvider</w:t>
      </w:r>
      <w:r>
        <w:rPr/>
        <w:t xml:space="preserve">/</w:t>
      </w:r>
      <w:r>
        <w:rPr/>
        <w:t xml:space="preserve">supports(ioc_type)</w:t>
      </w:r>
      <w:r>
        <w:rPr/>
        <w:t xml:space="preserve"> and </w:t>
      </w:r>
      <w:r>
        <w:rPr/>
        <w:t xml:space="preserve">call_claude_json()</w:t>
      </w:r>
      <w:r>
        <w:rPr/>
        <w:t xml:space="preserve"> respectively), so onboarding further sources or backends remains a natural extension of a pattern already proven at this scale, rather than a redesign.</w:t>
      </w:r>
    </w:p>
    <w:p>
      <w:pPr>
        <w:numPr>
          <w:ilvl w:val="0"/>
          <w:numId w:val="61"/>
        </w:numPr>
        <w:spacing w:lineRule="auto"/>
      </w:pPr>
      <w:r>
        <w:rPr>
          <w:b/>
        </w:rPr>
        <w:t xml:space="preserve">Promoting the two remaining </w:t>
      </w:r>
      <w:r>
        <w:rPr>
          <w:b/>
        </w:rPr>
        <w:t xml:space="preserve">stubs/</w:t>
      </w:r>
      <w:r>
        <w:rPr>
          <w:b/>
        </w:rPr>
        <w:t xml:space="preserve">-namespaced providers</w:t>
      </w:r>
      <w:r>
        <w:rPr/>
        <w:t xml:space="preserve"> (</w:t>
      </w:r>
      <w:r>
        <w:rPr/>
        <w:t xml:space="preserve">censys</w:t>
      </w:r>
      <w:r>
        <w:rPr/>
        <w:t xml:space="preserve">, </w:t>
      </w:r>
      <w:r>
        <w:rPr/>
        <w:t xml:space="preserve">hybrid_analysis</w:t>
      </w:r>
      <w:r>
        <w:rPr/>
        <w:t xml:space="preserve">) to the same top-level treatment as the other sixteen, once their real API integration depth is verified — they are registered and functional today but live in </w:t>
      </w:r>
      <w:r>
        <w:rPr/>
        <w:t xml:space="preserve">app/providers/stubs/</w:t>
      </w:r>
      <w:r>
        <w:rPr/>
        <w:t xml:space="preserve"> alongside </w:t>
      </w:r>
      <w:r>
        <w:rPr/>
        <w:t xml:space="preserve">spamhaus</w:t>
      </w:r>
      <w:r>
        <w:rPr/>
        <w:t xml:space="preserve"> and </w:t>
      </w:r>
      <w:r>
        <w:rPr/>
        <w:t xml:space="preserve">phishtank</w:t>
      </w:r>
      <w:r>
        <w:rPr/>
        <w:t xml:space="preserve">, a namespace this project uses for lighter-weight or credential-optional connectors.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SG8K5Ov_43zI3vHz68YSj.png" TargetMode="Internal"/>
  <Relationship Id="rId7" Type="http://schemas.openxmlformats.org/officeDocument/2006/relationships/image" Target="media/image-nXw5WR3hRmoae2qTsSYF_.png" TargetMode="Internal"/>
  <Relationship Id="rId8" Type="http://schemas.openxmlformats.org/officeDocument/2006/relationships/image" Target="media/image-0KV9H58Y-8RJMd3KVswYN.png" TargetMode="Internal"/>
  <Relationship Id="rId9" Type="http://schemas.openxmlformats.org/officeDocument/2006/relationships/image" Target="media/image-RIKZ0-px3JiwFcxvudFdA.png" TargetMode="Internal"/>
  <Relationship Id="rId10" Type="http://schemas.openxmlformats.org/officeDocument/2006/relationships/image" Target="media/image-1tMYpldFQ9zUP00fbn3Ai.png" TargetMode="Internal"/>
  <Relationship Id="rId11" Type="http://schemas.openxmlformats.org/officeDocument/2006/relationships/image" Target="media/image-YgdA2JiCRnEG-fOBxiIR1.png" TargetMode="Internal"/>
  <Relationship Id="rId12" Type="http://schemas.openxmlformats.org/officeDocument/2006/relationships/image" Target="media/image-Xy4FParc9uPD9aKgr2AJL.png" TargetMode="Internal"/>
  <Relationship Id="rId13" Type="http://schemas.openxmlformats.org/officeDocument/2006/relationships/image" Target="media/image-blndj0gzZ1B3t42QN0J2u.png" TargetMode="Internal"/>
  <Relationship Id="rId14" Type="http://schemas.openxmlformats.org/officeDocument/2006/relationships/image" Target="media/image-QQgH-xIRZBwYWfbQLuUnZ.png" TargetMode="Internal"/>
  <Relationship Id="rId15" Type="http://schemas.openxmlformats.org/officeDocument/2006/relationships/image" Target="media/image-JeSBIskTdpkxaN9pJ4q_E.png" TargetMode="Internal"/>
  <Relationship Id="rId16" Type="http://schemas.openxmlformats.org/officeDocument/2006/relationships/image" Target="media/image-jTaC663A8P8D7R-YbdAFw.png" TargetMode="Internal"/>
  <Relationship Id="rId17" Type="http://schemas.openxmlformats.org/officeDocument/2006/relationships/image" Target="media/image-tz-WwQrRNmY6BXy_zX92c.png" TargetMode="Internal"/>
  <Relationship Id="rId18" Type="http://schemas.openxmlformats.org/officeDocument/2006/relationships/image" Target="media/image-Vm_aEM-8kAVmzvrGtWDWv.png" TargetMode="Internal"/>
  <Relationship Id="rId19" Type="http://schemas.openxmlformats.org/officeDocument/2006/relationships/image" Target="media/image-0h72qafYEfRxNwhmawVzh.png" TargetMode="Internal"/>
  <Relationship Id="rId20" Type="http://schemas.openxmlformats.org/officeDocument/2006/relationships/image" Target="media/image-W3xMVQHAvMckmD31_R4IP.png" TargetMode="Internal"/>
  <Relationship Id="rId21" Type="http://schemas.openxmlformats.org/officeDocument/2006/relationships/image" Target="media/image-efZSUCSX-P_Q-y_8b2bXK.png" TargetMode="Internal"/>
  <Relationship Id="rId22" Type="http://schemas.openxmlformats.org/officeDocument/2006/relationships/image" Target="media/image-R7fogHJR_QRxzKUJbBOjQ.png" TargetMode="Internal"/>
  <Relationship Id="rId23" Type="http://schemas.openxmlformats.org/officeDocument/2006/relationships/image" Target="media/image-72uKSUfRV5EJpiYsp617z.png" TargetMode="Internal"/>
  <Relationship Id="rId24" Type="http://schemas.openxmlformats.org/officeDocument/2006/relationships/image" Target="media/image-sjTBNVGOlFAG8_WMm0VAr.png" TargetMode="Internal"/>
  <Relationship Id="rId25" Type="http://schemas.openxmlformats.org/officeDocument/2006/relationships/image" Target="media/image-k0nUjdwyOsbt0A2GINcFz.png" TargetMode="Internal"/>
  <Relationship Id="rId26" Type="http://schemas.openxmlformats.org/officeDocument/2006/relationships/image" Target="media/image-zanU3ro1UV-Cn4T6x3OQv.png" TargetMode="Internal"/>
  <Relationship Id="rId27" Type="http://schemas.openxmlformats.org/officeDocument/2006/relationships/image" Target="media/image-N8DFFrLHIw-omWv4ZOEIa.png" TargetMode="Internal"/>
  <Relationship Id="rId28" Type="http://schemas.openxmlformats.org/officeDocument/2006/relationships/image" Target="media/image-cGvtLSnhfKOuF4U6nJ6Uc.png" TargetMode="Internal"/>
  <Relationship Id="rId29" Type="http://schemas.openxmlformats.org/officeDocument/2006/relationships/image" Target="media/image-8_FKy71-Btp0pR-Ewh2vz.png" TargetMode="Internal"/>
  <Relationship Id="rId30" Type="http://schemas.openxmlformats.org/officeDocument/2006/relationships/image" Target="media/image-owBLR_RMZhWwaLC90jmqj.png" TargetMode="Internal"/>
  <Relationship Id="rId31" Type="http://schemas.openxmlformats.org/officeDocument/2006/relationships/image" Target="media/image-gt-Bl8JO7R9m-8Q2YtOL-.png" TargetMode="Internal"/>
  <Relationship Id="rId32" Type="http://schemas.openxmlformats.org/officeDocument/2006/relationships/image" Target="media/image-SUAwfixlufJjvkWk1KgLL.png" TargetMode="Internal"/>
  <Relationship Id="rId33" Type="http://schemas.openxmlformats.org/officeDocument/2006/relationships/image" Target="media/image-TB03NacofYSJXIQivYDDC.png" TargetMode="Internal"/>
  <Relationship Id="rId34" Type="http://schemas.openxmlformats.org/officeDocument/2006/relationships/image" Target="media/image-5QyhGPTE7yLqLjnOqBSqV.png" TargetMode="Internal"/>
  <Relationship Id="rId35" Type="http://schemas.openxmlformats.org/officeDocument/2006/relationships/image" Target="media/image-YOaDtCLSwnStMsnNXs9Rv.png" TargetMode="Internal"/>
  <Relationship Id="rId36" Type="http://schemas.openxmlformats.org/officeDocument/2006/relationships/image" Target="media/image-ODMoOAptsXEbYxldg2uKI.png" TargetMode="Internal"/>
  <Relationship Id="rId37" Type="http://schemas.openxmlformats.org/officeDocument/2006/relationships/image" Target="media/image-EY2wSR6TxoOLFqkH9DUZk.png" TargetMode="Internal"/>
  <Relationship Id="rId38" Type="http://schemas.openxmlformats.org/officeDocument/2006/relationships/image" Target="media/image-OlPS8y7Kwha119Epk7YNT.png" TargetMode="Internal"/>
  <Relationship Id="rId39" Type="http://schemas.openxmlformats.org/officeDocument/2006/relationships/image" Target="media/image-Srf9PMlpYtLu44uOUrAIY.png" TargetMode="Internal"/>
  <Relationship Id="rId40" Type="http://schemas.openxmlformats.org/officeDocument/2006/relationships/image" Target="media/image-TMGRhMLbTv0Ldpa7jZWLL.png" TargetMode="Internal"/>
  <Relationship Id="rId41" Type="http://schemas.openxmlformats.org/officeDocument/2006/relationships/image" Target="media/image-BMzFoiYAbiKGCwc0mQyjL.png" TargetMode="Internal"/>
  <Relationship Id="rId42" Type="http://schemas.openxmlformats.org/officeDocument/2006/relationships/image" Target="media/image-zsP5NJpCFMMwi2Z7CKuzb.png" TargetMode="Internal"/>
  <Relationship Id="rId43" Type="http://schemas.openxmlformats.org/officeDocument/2006/relationships/image" Target="media/image-BknOp70XFHPdYpGcB2Apz.png" TargetMode="Internal"/>
  <Relationship Id="rId44" Type="http://schemas.openxmlformats.org/officeDocument/2006/relationships/image" Target="media/image-rNIn_w6Te_JzYNDTqMyr6.png" TargetMode="Internal"/>
  <Relationship Id="rId45" Type="http://schemas.openxmlformats.org/officeDocument/2006/relationships/image" Target="media/image-3kTKmhCAFiVXeXu7WnJ_l.png" TargetMode="Internal"/>
  <Relationship Id="rId46" Type="http://schemas.openxmlformats.org/officeDocument/2006/relationships/image" Target="media/image-HGf6PI7ZRlSvsoUcu6YKA.png" TargetMode="Internal"/>
  <Relationship Id="rId47" Type="http://schemas.openxmlformats.org/officeDocument/2006/relationships/image" Target="media/image-MMWWNODtUOoPUEzVZXJWU.png" TargetMode="Internal"/>
  <Relationship Id="rId48" Type="http://schemas.openxmlformats.org/officeDocument/2006/relationships/image" Target="media/image-ou4gmevIqvpDStYfWWYC0.png" TargetMode="Internal"/>
  <Relationship Id="rId49" Type="http://schemas.openxmlformats.org/officeDocument/2006/relationships/image" Target="media/image-ywPymq14uQWN603nr0Ks5.png" TargetMode="Internal"/>
  <Relationship Id="rId50" Type="http://schemas.openxmlformats.org/officeDocument/2006/relationships/image" Target="media/image-L-39u7x4jvG3uOyv1mkuh.png" TargetMode="Internal"/>
  <Relationship Id="rId51" Type="http://schemas.openxmlformats.org/officeDocument/2006/relationships/image" Target="media/image-IUQEtUsmUrhJ26AiMCMEC.png" TargetMode="Internal"/>
  <Relationship Id="rId52" Type="http://schemas.openxmlformats.org/officeDocument/2006/relationships/image" Target="media/image-xqi093k6-lcylJObC9e7A.png" TargetMode="Internal"/>
  <Relationship Id="rId53" Type="http://schemas.openxmlformats.org/officeDocument/2006/relationships/image" Target="media/image-1jwXbUTjiteeo8Q2OiLX4.png" TargetMode="Internal"/>
  <Relationship Id="rId54" Type="http://schemas.openxmlformats.org/officeDocument/2006/relationships/image" Target="media/image-vicnWnTDVN68fy1mYzn38.png" TargetMode="Internal"/>
  <Relationship Id="rId55" Type="http://schemas.openxmlformats.org/officeDocument/2006/relationships/image" Target="media/image-ibmAu8UN0LHKqrjT4jx2z.png" TargetMode="Internal"/>
  <Relationship Id="rId56" Type="http://schemas.openxmlformats.org/officeDocument/2006/relationships/image" Target="media/image-aJzTsJNx7q0S4DEeVaKpP.png" TargetMode="Internal"/>
  <Relationship Id="rId57" Type="http://schemas.openxmlformats.org/officeDocument/2006/relationships/image" Target="media/image-WZ9KyXcr_hk0pZgd_w5-6.png" TargetMode="Internal"/>
  <Relationship Id="rId58" Type="http://schemas.openxmlformats.org/officeDocument/2006/relationships/image" Target="media/image-MSraUxT8pIzxgoeY6dMA7.png" TargetMode="Internal"/>
  <Relationship Id="rId59" Type="http://schemas.openxmlformats.org/officeDocument/2006/relationships/image" Target="media/image-E5CaEKThspuQRNkqkC5qX.png" TargetMode="Internal"/>
  <Relationship Id="rId60" Type="http://schemas.openxmlformats.org/officeDocument/2006/relationships/image" Target="media/image-gHra2XaH2q3zDZHdOjs2_.png" TargetMode="Internal"/>
  <Relationship Id="rId61" Type="http://schemas.openxmlformats.org/officeDocument/2006/relationships/image" Target="media/image-zztM9eMHxTSmizulfAtMH.png" TargetMode="Internal"/>
  <Relationship Id="rId62" Type="http://schemas.openxmlformats.org/officeDocument/2006/relationships/image" Target="media/image-JoIMi50rBRS5SpUT7X0AD.png" TargetMode="Internal"/>
  <Relationship Id="rId63" Type="http://schemas.openxmlformats.org/officeDocument/2006/relationships/image" Target="media/image-AwPbgPgMBbpwEzgcnzybB.png" TargetMode="Internal"/>
  <Relationship Id="rId64" Type="http://schemas.openxmlformats.org/officeDocument/2006/relationships/image" Target="media/image-8I3HwmdrSdb1_lXXn_R4b.png" TargetMode="Internal"/>
  <Relationship Id="rId65" Type="http://schemas.openxmlformats.org/officeDocument/2006/relationships/image" Target="media/image-FV5iwKhmozfrhTBFDGO6N.png" TargetMode="Internal"/>
  <Relationship Id="rId66" Type="http://schemas.openxmlformats.org/officeDocument/2006/relationships/image" Target="media/image-GZQ0ud0yyg2XTlYb3hLP_.png" TargetMode="Internal"/>
  <Relationship Id="rId67" Type="http://schemas.openxmlformats.org/officeDocument/2006/relationships/image" Target="media/image-r-VeJ8UIKp7-yPAJwp4Uu.png" TargetMode="Internal"/>
  <Relationship Id="rId68" Type="http://schemas.openxmlformats.org/officeDocument/2006/relationships/image" Target="media/image-NXpWkgr4JaM-6SXM2hRUG.png" TargetMode="Internal"/>
  <Relationship Id="rId69" Type="http://schemas.openxmlformats.org/officeDocument/2006/relationships/image" Target="media/image-3g07CynzgUBdCT4kwTtmy.png" TargetMode="Internal"/>
  <Relationship Id="rId70" Type="http://schemas.openxmlformats.org/officeDocument/2006/relationships/image" Target="media/image-FwJ99Y1_u7-Bv_FojAjp-.png" TargetMode="Internal"/>
  <Relationship Id="rId71" Type="http://schemas.openxmlformats.org/officeDocument/2006/relationships/image" Target="media/image-QDD1X2Zl49gik122BVYAd.png" TargetMode="Internal"/>
  <Relationship Id="rId72" Type="http://schemas.openxmlformats.org/officeDocument/2006/relationships/image" Target="media/image-CygG364tqk0MvcPdfMUqe.png" TargetMode="Internal"/>
  <Relationship Id="rId73" Type="http://schemas.openxmlformats.org/officeDocument/2006/relationships/image" Target="media/image-eblboVfdAI_mP3n7_tNaO.png" TargetMode="Internal"/>
  <Relationship Id="rId74" Type="http://schemas.openxmlformats.org/officeDocument/2006/relationships/image" Target="media/image-Zy_93tUxrSohSGWZNRwmm.png" TargetMode="Internal"/>
  <Relationship Id="rId75" Type="http://schemas.openxmlformats.org/officeDocument/2006/relationships/image" Target="media/image-25yDoofc-mCNpzOKEO2gI.png" TargetMode="Internal"/>
  <Relationship Id="rId76" Type="http://schemas.openxmlformats.org/officeDocument/2006/relationships/image" Target="media/image-nrrYMooyCrP43rNuyJcmS.png" TargetMode="Internal"/>
  <Relationship Id="rId77" Type="http://schemas.openxmlformats.org/officeDocument/2006/relationships/image" Target="media/image-ss6JdFeErFD5BqJ5t36XQ.png" TargetMode="Internal"/>
  <Relationship Id="rId78" Type="http://schemas.openxmlformats.org/officeDocument/2006/relationships/image" Target="media/image-YrIPpRl2qJRObdUD6vNoB.png" TargetMode="Internal"/>
  <Relationship Id="rId79" Type="http://schemas.openxmlformats.org/officeDocument/2006/relationships/image" Target="media/image-Hoc-cHU0U7Us6F559tLhD.png" TargetMode="Internal"/>
  <Relationship Id="rId80" Type="http://schemas.openxmlformats.org/officeDocument/2006/relationships/image" Target="media/image-l2DPMAOmqBikaTSb9TQku.png" TargetMode="Internal"/>
  <Relationship Id="rId81" Type="http://schemas.openxmlformats.org/officeDocument/2006/relationships/image" Target="media/image-zurLMvcLa_NI2tfMMjgSZ.png" TargetMode="Internal"/>
  <Relationship Id="rId82" Type="http://schemas.openxmlformats.org/officeDocument/2006/relationships/image" Target="media/image-wnf13hUZyPiNNRJwE8OSz.png" TargetMode="Internal"/>
  <Relationship Id="rId83" Type="http://schemas.openxmlformats.org/officeDocument/2006/relationships/image" Target="media/image-w1x2DLALSy3wuNMUReFEa.png" TargetMode="Internal"/>
  <Relationship Id="rId84" Type="http://schemas.openxmlformats.org/officeDocument/2006/relationships/image" Target="media/image-1TAUPrSdHeKzbVh9T90av.png" TargetMode="Internal"/>
  <Relationship Id="rId85" Type="http://schemas.openxmlformats.org/officeDocument/2006/relationships/image" Target="media/image-w-ZOOYiYczLORpOvIpHyt.png" TargetMode="Internal"/>
  <Relationship Id="rId86" Type="http://schemas.openxmlformats.org/officeDocument/2006/relationships/image" Target="media/image-H07LlRuySDL3n4orcVve0.png" TargetMode="Internal"/>
  <Relationship Id="rId87" Type="http://schemas.openxmlformats.org/officeDocument/2006/relationships/image" Target="media/image-nN499I9SellWU8prfhUoN.png" TargetMode="Internal"/>
  <Relationship Id="rId88" Type="http://schemas.openxmlformats.org/officeDocument/2006/relationships/image" Target="media/image-Z__LXDkrxcwypT5RlKUeZ.png" TargetMode="Internal"/>
  <Relationship Id="rId89" Type="http://schemas.openxmlformats.org/officeDocument/2006/relationships/image" Target="media/image-Kj031zYAW8pfw41rgc2Eg.png" TargetMode="Internal"/>
  <Relationship Id="rId90" Type="http://schemas.openxmlformats.org/officeDocument/2006/relationships/image" Target="media/image--2V3xHGcETvkIWTzfgbSy.png" TargetMode="Internal"/>
  <Relationship Id="rId91" Type="http://schemas.openxmlformats.org/officeDocument/2006/relationships/image" Target="media/image-2mi7S2aKS9x7Kdo8gMJnI.png" TargetMode="Internal"/>
  <Relationship Id="rId92" Type="http://schemas.openxmlformats.org/officeDocument/2006/relationships/image" Target="media/image-tKhZ3KW3YLmfowwy1f7Xc.png" TargetMode="Internal"/>
  <Relationship Id="rId93" Type="http://schemas.openxmlformats.org/officeDocument/2006/relationships/image" Target="media/image-4RW_EExL1Dwy6U8x7l3pi.png" TargetMode="Internal"/>
  <Relationship Id="rId94" Type="http://schemas.openxmlformats.org/officeDocument/2006/relationships/image" Target="media/image--vCOQS7vzdU4UmJXwS3ZU.png" TargetMode="Internal"/>
  <Relationship Id="rId95" Type="http://schemas.openxmlformats.org/officeDocument/2006/relationships/image" Target="media/image-H99qCMFShCqerlYpRnhll.png" TargetMode="Internal"/>
  <Relationship Id="rId96" Type="http://schemas.openxmlformats.org/officeDocument/2006/relationships/image" Target="media/image-mQYBbLts2omBKGSyrrlF4.png" TargetMode="Internal"/>
  <Relationship Id="rId97" Type="http://schemas.openxmlformats.org/officeDocument/2006/relationships/image" Target="media/image-jlenI7AeiOTjNAoOHEoxr.png" TargetMode="Internal"/>
  <Relationship Id="rId98" Type="http://schemas.openxmlformats.org/officeDocument/2006/relationships/image" Target="media/image-iIP6irg5ufW_6UHOw6Loc.png" TargetMode="Internal"/>
  <Relationship Id="rId99" Type="http://schemas.openxmlformats.org/officeDocument/2006/relationships/image" Target="media/image-Ucao8TuOdJBAnDd7T0CHg.png" TargetMode="Internal"/>
  <Relationship Id="rId100" Type="http://schemas.openxmlformats.org/officeDocument/2006/relationships/image" Target="media/image-RuwUrHbgxneLdLLTx_9Ug.png" TargetMode="Internal"/>
  <Relationship Id="rId101" Type="http://schemas.openxmlformats.org/officeDocument/2006/relationships/image" Target="media/image-IDtwghx9xcpE9t63WQp1j.png" TargetMode="Internal"/>
  <Relationship Id="rId102" Type="http://schemas.openxmlformats.org/officeDocument/2006/relationships/image" Target="media/image-v_WyWA50zZdtHTfuCjtsS.png" TargetMode="Internal"/>
  <Relationship Id="rId103" Type="http://schemas.openxmlformats.org/officeDocument/2006/relationships/image" Target="media/image-MxaNhwle-8my9-j-HSF5S.png" TargetMode="Internal"/>
  <Relationship Id="rId104" Type="http://schemas.openxmlformats.org/officeDocument/2006/relationships/image" Target="media/image-YUygTr-W7JoE5ZTHjQqbH.png" TargetMode="Internal"/>
  <Relationship Id="rId105" Type="http://schemas.openxmlformats.org/officeDocument/2006/relationships/image" Target="media/image-pU9N9Aqh-0LaGNYaom1Bn.png" TargetMode="Internal"/>
  <Relationship Id="rId106" Type="http://schemas.openxmlformats.org/officeDocument/2006/relationships/image" Target="media/image-iV_5IgErYoQvs5PrUDvnD.png" TargetMode="Internal"/>
  <Relationship Id="rId107" Type="http://schemas.openxmlformats.org/officeDocument/2006/relationships/image" Target="media/image-HJn7ncjlmVnTrYWzEXZPB.png" TargetMode="Internal"/>
  <Relationship Id="rId108" Type="http://schemas.openxmlformats.org/officeDocument/2006/relationships/image" Target="media/image-i0umcsNzswjTB3LzmtuXb.png" TargetMode="Internal"/>
  <Relationship Id="rId109" Type="http://schemas.openxmlformats.org/officeDocument/2006/relationships/image" Target="media/image-rRM2yCQngOfS_FlUQdyam.png" TargetMode="Internal"/>
  <Relationship Id="rId110" Type="http://schemas.openxmlformats.org/officeDocument/2006/relationships/image" Target="media/image-e2Hk1pnZF92eMwHJOX7BK.png" TargetMode="Internal"/>
  <Relationship Id="rId111" Type="http://schemas.openxmlformats.org/officeDocument/2006/relationships/image" Target="media/image-7OJ02Yq8WmnIziis-yv18.png" TargetMode="Internal"/>
  <Relationship Id="rId112" Type="http://schemas.openxmlformats.org/officeDocument/2006/relationships/image" Target="media/image-P5tWAdsHqR6jVUt9k6OeZ.png" TargetMode="Internal"/>
  <Relationship Id="rId113" Type="http://schemas.openxmlformats.org/officeDocument/2006/relationships/image" Target="media/image-LQH661cy4guEAuZs-QhXj.png" TargetMode="Internal"/>
  <Relationship Id="rId114" Type="http://schemas.openxmlformats.org/officeDocument/2006/relationships/image" Target="media/image-KnjHmyZLThrHx7kHRtkfh.png" TargetMode="Internal"/>
  <Relationship Id="rId115" Type="http://schemas.openxmlformats.org/officeDocument/2006/relationships/image" Target="media/image-Lf8ySBrBOO2WbVRKVqoLs.png" TargetMode="Internal"/>
  <Relationship Id="rId116" Type="http://schemas.openxmlformats.org/officeDocument/2006/relationships/image" Target="media/image-f9_y7PGSav5A5sKZ8pPu3.png" TargetMode="Internal"/>
  <Relationship Id="rId117" Type="http://schemas.openxmlformats.org/officeDocument/2006/relationships/image" Target="media/image-3Gosz1bGp_a_Cxqtz55EU.png" TargetMode="Internal"/>
  <Relationship Id="rId118" Type="http://schemas.openxmlformats.org/officeDocument/2006/relationships/image" Target="media/image-1AU-eZivvvr-Bi5it5NK0.png" TargetMode="Internal"/>
  <Relationship Id="rId119" Type="http://schemas.openxmlformats.org/officeDocument/2006/relationships/image" Target="media/image-lh86sU7TGqYAPZ7eph9jd.png" TargetMode="Internal"/>
  <Relationship Id="rId120" Type="http://schemas.openxmlformats.org/officeDocument/2006/relationships/image" Target="media/image-ayp7NiJkGigGWeumV7EuA.png" TargetMode="Internal"/>
  <Relationship Id="rId121" Type="http://schemas.openxmlformats.org/officeDocument/2006/relationships/image" Target="media/image-Zv2R7NvJT3NYlcpUfHBho.png" TargetMode="Internal"/>
  <Relationship Id="rId122" Type="http://schemas.openxmlformats.org/officeDocument/2006/relationships/image" Target="media/image-kz3sk8V8k9XocLda2O87B.png" TargetMode="Internal"/>
  <Relationship Id="rId123" Type="http://schemas.openxmlformats.org/officeDocument/2006/relationships/image" Target="media/image-MrDdS0Dr_UaMHU7TuXOP0.png" TargetMode="Internal"/>
  <Relationship Id="rId124" Type="http://schemas.openxmlformats.org/officeDocument/2006/relationships/image" Target="media/image-229xDjz0-baCDZvtc1w9n.png" TargetMode="Internal"/>
  <Relationship Id="rId125" Type="http://schemas.openxmlformats.org/officeDocument/2006/relationships/image" Target="media/image-WXGlA93mu111pzBqvo40R.png" TargetMode="Internal"/>
  <Relationship Id="rId126" Type="http://schemas.openxmlformats.org/officeDocument/2006/relationships/image" Target="media/image-SX_C2EfBhXdateRBFy7lm.png" TargetMode="Internal"/>
  <Relationship Id="rId127" Type="http://schemas.openxmlformats.org/officeDocument/2006/relationships/image" Target="media/image-3ZcL7cLK-oIbLWQTsqXiv.png" TargetMode="Internal"/>
  <Relationship Id="rId128" Type="http://schemas.openxmlformats.org/officeDocument/2006/relationships/image" Target="media/image-XbsSbBDP5ln3fO0amHCfr.png" TargetMode="Internal"/>
  <Relationship Id="rId129" Type="http://schemas.openxmlformats.org/officeDocument/2006/relationships/image" Target="media/image-71li41KYyOELzYEtTN0Fz.png" TargetMode="Internal"/>
  <Relationship Id="rId130" Type="http://schemas.openxmlformats.org/officeDocument/2006/relationships/image" Target="media/image-KkN1Rcj5VJAQ5hBpNbHXb.png" TargetMode="Internal"/>
  <Relationship Id="rId131" Type="http://schemas.openxmlformats.org/officeDocument/2006/relationships/image" Target="media/image-NaNsMkkjs5NyWAF-fLoIV.png" TargetMode="Internal"/>
  <Relationship Id="rId132" Type="http://schemas.openxmlformats.org/officeDocument/2006/relationships/image" Target="media/image-VE_QlUv6F3A1BZ3-aYKjp.png" TargetMode="Internal"/>
  <Relationship Id="rId133" Type="http://schemas.openxmlformats.org/officeDocument/2006/relationships/image" Target="media/image-S7bWf1b1JB-N5HKr5Xmbd.png" TargetMode="Internal"/>
  <Relationship Id="rId134" Type="http://schemas.openxmlformats.org/officeDocument/2006/relationships/image" Target="media/image-3syqdn1baNepVkmA-yiHL.png" TargetMode="Internal"/>
  <Relationship Id="rId135" Type="http://schemas.openxmlformats.org/officeDocument/2006/relationships/image" Target="media/image-2o_sdQ6chLBEbvM6CYqvF.png" TargetMode="Internal"/>
  <Relationship Id="rId136" Type="http://schemas.openxmlformats.org/officeDocument/2006/relationships/image" Target="media/image-63MeegstX4P11MSV4X1Ih.png" TargetMode="Internal"/>
  <Relationship Id="rId137" Type="http://schemas.openxmlformats.org/officeDocument/2006/relationships/image" Target="media/image-4YUGyzLwCmYFGw-pm0hTi.png" TargetMode="Internal"/>
  <Relationship Id="rId138" Type="http://schemas.openxmlformats.org/officeDocument/2006/relationships/image" Target="media/image-ROeRmuW6L_QWjfxhPvE9E.png" TargetMode="Internal"/>
  <Relationship Id="rId139" Type="http://schemas.openxmlformats.org/officeDocument/2006/relationships/image" Target="media/image-SUxf0mIUIyZhcd0N7SKrW.png" TargetMode="Internal"/>
  <Relationship Id="rId140" Type="http://schemas.openxmlformats.org/officeDocument/2006/relationships/image" Target="media/image-0hnKW5TRI9hqMomgal7Vy.png" TargetMode="Internal"/>
  <Relationship Id="rId141" Type="http://schemas.openxmlformats.org/officeDocument/2006/relationships/image" Target="media/image-6Yq5FlNgr6uTduDPuEbRl.png" TargetMode="Internal"/>
  <Relationship Id="rId142" Type="http://schemas.openxmlformats.org/officeDocument/2006/relationships/image" Target="media/image-YEkbkHHrTu1BABFgwnvNc.png" TargetMode="Internal"/>
  <Relationship Id="rId143" Type="http://schemas.openxmlformats.org/officeDocument/2006/relationships/image" Target="media/image-Cx499FcOcIi3Pqh4TvqUt.png" TargetMode="Internal"/>
  <Relationship Id="rId144" Type="http://schemas.openxmlformats.org/officeDocument/2006/relationships/image" Target="media/image-wjKspz6QUsi5ah66u30Mi.png" TargetMode="Internal"/>
  <Relationship Id="rId145" Type="http://schemas.openxmlformats.org/officeDocument/2006/relationships/image" Target="media/image-fiIzrZulpADPdNMqeqx6D.png" TargetMode="Internal"/>
  <Relationship Id="rId146" Type="http://schemas.openxmlformats.org/officeDocument/2006/relationships/image" Target="media/image-ElrmDr-pfTKZVxjbNR7xz.png" TargetMode="Internal"/>
  <Relationship Id="rId147" Type="http://schemas.openxmlformats.org/officeDocument/2006/relationships/image" Target="media/image-aa3qxaR7eN6OlZsvmwmDu.png" TargetMode="Internal"/>
  <Relationship Id="rId148" Type="http://schemas.openxmlformats.org/officeDocument/2006/relationships/image" Target="media/image-6QIJQ1SwpqEbEKq4gT_Mn.png" TargetMode="Internal"/>
  <Relationship Id="rId149" Type="http://schemas.openxmlformats.org/officeDocument/2006/relationships/image" Target="media/image-roGE6xsV-StHm9SSMfouR.png" TargetMode="Internal"/>
  <Relationship Id="rId150" Type="http://schemas.openxmlformats.org/officeDocument/2006/relationships/image" Target="media/image-Nd-6OZUfsYivYgBt6AJeI.png" TargetMode="Internal"/>
  <Relationship Id="rId151" Type="http://schemas.openxmlformats.org/officeDocument/2006/relationships/image" Target="media/image-p4DyL_ZviIXo2mSCP9V9l.png" TargetMode="Internal"/>
  <Relationship Id="rId152" Type="http://schemas.openxmlformats.org/officeDocument/2006/relationships/image" Target="media/image-T-Lh0lVjkY6KcFGk5nvb2.png" TargetMode="Internal"/>
  <Relationship Id="rId153" Type="http://schemas.openxmlformats.org/officeDocument/2006/relationships/image" Target="media/image-iFc-0htZbw1x6x7nOYP7b.png" TargetMode="Internal"/>
  <Relationship Id="rId154" Type="http://schemas.openxmlformats.org/officeDocument/2006/relationships/image" Target="media/image-yxHz2iBShG86k2iXapKd_.png" TargetMode="Internal"/>
  <Relationship Id="rId155" Type="http://schemas.openxmlformats.org/officeDocument/2006/relationships/image" Target="media/image-c4TUWbkouN8y4HCz2XmUf.png" TargetMode="Internal"/>
  <Relationship Id="rId156" Type="http://schemas.openxmlformats.org/officeDocument/2006/relationships/image" Target="media/image-bH438lBSAoXAH0cMbb3Tw.png" TargetMode="Internal"/>
  <Relationship Id="rId157" Type="http://schemas.openxmlformats.org/officeDocument/2006/relationships/image" Target="media/image-7u9CgYN91rXRiiJVnjdsK.png" TargetMode="Internal"/>
  <Relationship Id="rId158" Type="http://schemas.openxmlformats.org/officeDocument/2006/relationships/image" Target="media/image-W6jlaXTeqsT8UO4SzguNp.png" TargetMode="Internal"/>
  <Relationship Id="rId159" Type="http://schemas.openxmlformats.org/officeDocument/2006/relationships/image" Target="media/image-uyMEzOtbgDIB4P6VLnX4r.png" TargetMode="Internal"/>
  <Relationship Id="rId160" Type="http://schemas.openxmlformats.org/officeDocument/2006/relationships/image" Target="media/image-DPOHjXm_I_8fmy6jsc_2W.png" TargetMode="Internal"/>
  <Relationship Id="rId161" Type="http://schemas.openxmlformats.org/officeDocument/2006/relationships/image" Target="media/image-bmjFDEuufPz51Ifv7pKcQ.png" TargetMode="Internal"/>
  <Relationship Id="rId162" Type="http://schemas.openxmlformats.org/officeDocument/2006/relationships/footer" Target="footer1.xml" TargetMode="Internal"/>
  <Relationship Id="rId16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IOC Intelligence Platform -- Product Documentation</dc:title>
  <dc:subject/>
  <dc:creator>IOC Intelligence Platform Documentation</dc:creator>
  <cp:keywords>html-to-docx</cp:keywords>
  <dc:description/>
  <cp:lastModifiedBy>html-to-docx</cp:lastModifiedBy>
  <cp:revision>1</cp:revision>
  <dcterms:created xsi:type="dcterms:W3CDTF">2026-08-22T12:10:11.733Z</dcterms:created>
  <dcterms:modified xsi:type="dcterms:W3CDTF">2026-08-22T12:10:11.733Z</dcterms:modified>
</cp:coreProperties>
</file>